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6A7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5682F4C">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01ECD008">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03.160</w:t>
            </w:r>
            <w:r>
              <w:rPr>
                <w:rFonts w:ascii="黑体" w:hAnsi="黑体" w:eastAsia="黑体"/>
                <w:sz w:val="21"/>
                <w:szCs w:val="21"/>
              </w:rPr>
              <w:fldChar w:fldCharType="end"/>
            </w:r>
            <w:bookmarkEnd w:id="0"/>
          </w:p>
        </w:tc>
      </w:tr>
      <w:tr w14:paraId="5080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F8F9C7">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4C574191">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A12</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78323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0F2A2E1">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7DD33F4B">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C1E509A">
      <w:pPr>
        <w:pStyle w:val="197"/>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5</w:t>
      </w:r>
      <w:r>
        <w:fldChar w:fldCharType="end"/>
      </w:r>
      <w:bookmarkEnd w:id="7"/>
    </w:p>
    <w:p w14:paraId="682989A3">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1FD4099">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5014E604">
      <w:pPr>
        <w:pStyle w:val="52"/>
        <w:framePr w:w="9639" w:h="6976" w:hRule="exact" w:hSpace="0" w:vSpace="0" w:wrap="around" w:hAnchor="page" w:y="6408"/>
        <w:jc w:val="center"/>
        <w:rPr>
          <w:rFonts w:ascii="黑体" w:hAnsi="黑体" w:eastAsia="黑体"/>
          <w:b w:val="0"/>
          <w:bCs w:val="0"/>
          <w:w w:val="100"/>
        </w:rPr>
      </w:pPr>
    </w:p>
    <w:p w14:paraId="626D6588">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乡镇（街道）司法所合法性审查工作指南</w:t>
      </w:r>
      <w:r>
        <w:fldChar w:fldCharType="end"/>
      </w:r>
      <w:bookmarkEnd w:id="9"/>
    </w:p>
    <w:p w14:paraId="1DC03942">
      <w:pPr>
        <w:framePr w:w="9639" w:h="6974" w:hRule="exact" w:wrap="around" w:vAnchor="page" w:hAnchor="page" w:x="1419" w:y="6408" w:anchorLock="1"/>
        <w:ind w:left="-1418"/>
      </w:pPr>
    </w:p>
    <w:p w14:paraId="47EDC76E">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Guidelines for the legitimacy review of township (</w:t>
      </w:r>
      <w:r>
        <w:rPr>
          <w:rFonts w:hint="eastAsia" w:eastAsia="黑体"/>
          <w:szCs w:val="28"/>
        </w:rPr>
        <w:t>sub-district</w:t>
      </w:r>
      <w:r>
        <w:rPr>
          <w:rFonts w:eastAsia="黑体"/>
          <w:szCs w:val="28"/>
        </w:rPr>
        <w:t>) judicial offices</w:t>
      </w:r>
      <w:r>
        <w:rPr>
          <w:rFonts w:eastAsia="黑体"/>
          <w:szCs w:val="28"/>
        </w:rPr>
        <w:fldChar w:fldCharType="end"/>
      </w:r>
      <w:bookmarkEnd w:id="10"/>
    </w:p>
    <w:p w14:paraId="5B381213">
      <w:pPr>
        <w:framePr w:w="9639" w:h="6974" w:hRule="exact" w:wrap="around" w:vAnchor="page" w:hAnchor="page" w:x="1419" w:y="6408" w:anchorLock="1"/>
        <w:spacing w:line="760" w:lineRule="exact"/>
        <w:ind w:left="-1418"/>
      </w:pPr>
    </w:p>
    <w:p w14:paraId="193681FF">
      <w:pPr>
        <w:pStyle w:val="127"/>
        <w:framePr w:w="9639" w:h="6974" w:hRule="exact" w:wrap="around" w:vAnchor="page" w:hAnchor="page" w:x="1419" w:y="6408" w:anchorLock="1"/>
        <w:textAlignment w:val="bottom"/>
        <w:rPr>
          <w:rFonts w:eastAsia="黑体"/>
          <w:szCs w:val="28"/>
        </w:rPr>
      </w:pPr>
    </w:p>
    <w:p w14:paraId="04F65F85">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A59757A">
      <w:pPr>
        <w:pStyle w:val="127"/>
        <w:framePr w:w="9639" w:h="6974" w:hRule="exact" w:wrap="around" w:vAnchor="page" w:hAnchor="page" w:x="1419" w:y="6408" w:anchorLock="1"/>
        <w:spacing w:before="180" w:line="240" w:lineRule="atLeast"/>
        <w:textAlignment w:val="bottom"/>
        <w:rPr>
          <w:sz w:val="21"/>
          <w:szCs w:val="28"/>
        </w:rPr>
      </w:pPr>
    </w:p>
    <w:p w14:paraId="29E5FB50">
      <w:pPr>
        <w:pStyle w:val="127"/>
        <w:framePr w:w="9639" w:h="6974" w:hRule="exact" w:wrap="around" w:vAnchor="page" w:hAnchor="page" w:x="1419" w:y="6408" w:anchorLock="1"/>
        <w:spacing w:beforeLines="300" w:afterLines="30" w:line="240" w:lineRule="auto"/>
        <w:textAlignment w:val="bottom"/>
        <w:rPr>
          <w:b/>
          <w:sz w:val="21"/>
          <w:szCs w:val="28"/>
        </w:rPr>
      </w:pPr>
    </w:p>
    <w:p w14:paraId="26D2DB2E">
      <w:pPr>
        <w:pStyle w:val="195"/>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24A94CB9">
      <w:pPr>
        <w:pStyle w:val="196"/>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46602A0C">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8"/>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319E2A5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14:paraId="3F1C621B">
      <w:pPr>
        <w:pStyle w:val="93"/>
        <w:spacing w:after="468"/>
      </w:pPr>
      <w:bookmarkStart w:id="19" w:name="BookMark1"/>
      <w:bookmarkStart w:id="20" w:name="_Toc175908060"/>
      <w:bookmarkStart w:id="21" w:name="_Toc175908027"/>
      <w:r>
        <w:rPr>
          <w:rFonts w:hint="eastAsia"/>
          <w:spacing w:val="320"/>
        </w:rPr>
        <w:t>目</w:t>
      </w:r>
      <w:r>
        <w:rPr>
          <w:rFonts w:hint="eastAsia"/>
        </w:rPr>
        <w:t>次</w:t>
      </w:r>
    </w:p>
    <w:p w14:paraId="146EDB4F">
      <w:pPr>
        <w:pStyle w:val="20"/>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w:instrText>
      </w:r>
      <w:r>
        <w:instrText xml:space="preserve"> </w:instrText>
      </w:r>
      <w:r>
        <w:fldChar w:fldCharType="separate"/>
      </w:r>
      <w:r>
        <w:fldChar w:fldCharType="begin"/>
      </w:r>
      <w:r>
        <w:instrText xml:space="preserve"> HYPERLINK \l "_Toc175910601" </w:instrText>
      </w:r>
      <w:r>
        <w:fldChar w:fldCharType="separate"/>
      </w:r>
      <w:r>
        <w:rPr>
          <w:rStyle w:val="34"/>
          <w:rFonts w:hint="eastAsia"/>
        </w:rPr>
        <w:t>前言</w:t>
      </w:r>
      <w:r>
        <w:tab/>
      </w:r>
      <w:r>
        <w:fldChar w:fldCharType="begin"/>
      </w:r>
      <w:r>
        <w:instrText xml:space="preserve"> PAGEREF _Toc175910601 \h </w:instrText>
      </w:r>
      <w:r>
        <w:fldChar w:fldCharType="separate"/>
      </w:r>
      <w:r>
        <w:t>II</w:t>
      </w:r>
      <w:r>
        <w:fldChar w:fldCharType="end"/>
      </w:r>
      <w:r>
        <w:fldChar w:fldCharType="end"/>
      </w:r>
    </w:p>
    <w:p w14:paraId="35CC2295">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"_Toc175910602" </w:instrText>
      </w:r>
      <w:r>
        <w:fldChar w:fldCharType="separate"/>
      </w:r>
      <w:r>
        <w:rPr>
          <w:rStyle w:val="34"/>
        </w:rPr>
        <w:t xml:space="preserve">1 </w:t>
      </w:r>
      <w:r>
        <w:rPr>
          <w:rStyle w:val="34"/>
          <w:rFonts w:hint="eastAsia"/>
        </w:rPr>
        <w:t xml:space="preserve"> 范围</w:t>
      </w:r>
      <w:r>
        <w:tab/>
      </w:r>
      <w:r>
        <w:fldChar w:fldCharType="begin"/>
      </w:r>
      <w:r>
        <w:instrText xml:space="preserve"> PAGEREF _Toc175910602 \h </w:instrText>
      </w:r>
      <w:r>
        <w:fldChar w:fldCharType="separate"/>
      </w:r>
      <w:r>
        <w:t>3</w:t>
      </w:r>
      <w:r>
        <w:fldChar w:fldCharType="end"/>
      </w:r>
      <w:r>
        <w:fldChar w:fldCharType="end"/>
      </w:r>
    </w:p>
    <w:p w14:paraId="299826FB">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"_Toc175910603" </w:instrText>
      </w:r>
      <w:r>
        <w:fldChar w:fldCharType="separate"/>
      </w:r>
      <w:r>
        <w:rPr>
          <w:rStyle w:val="34"/>
        </w:rPr>
        <w:t xml:space="preserve">2 </w:t>
      </w:r>
      <w:r>
        <w:rPr>
          <w:rStyle w:val="34"/>
          <w:rFonts w:hint="eastAsia"/>
        </w:rPr>
        <w:t xml:space="preserve"> 规范性引用文件</w:t>
      </w:r>
      <w:r>
        <w:tab/>
      </w:r>
      <w:r>
        <w:fldChar w:fldCharType="begin"/>
      </w:r>
      <w:r>
        <w:instrText xml:space="preserve"> PAGEREF _Toc175910603 \h </w:instrText>
      </w:r>
      <w:r>
        <w:fldChar w:fldCharType="separate"/>
      </w:r>
      <w:r>
        <w:t>3</w:t>
      </w:r>
      <w:r>
        <w:fldChar w:fldCharType="end"/>
      </w:r>
      <w:r>
        <w:fldChar w:fldCharType="end"/>
      </w:r>
    </w:p>
    <w:p w14:paraId="2C69A6A5">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"_Toc175910604" </w:instrText>
      </w:r>
      <w:r>
        <w:fldChar w:fldCharType="separate"/>
      </w:r>
      <w:r>
        <w:rPr>
          <w:rStyle w:val="34"/>
        </w:rPr>
        <w:t xml:space="preserve">3 </w:t>
      </w:r>
      <w:r>
        <w:rPr>
          <w:rStyle w:val="34"/>
          <w:rFonts w:hint="eastAsia"/>
        </w:rPr>
        <w:t xml:space="preserve"> 术语和定义</w:t>
      </w:r>
      <w:r>
        <w:tab/>
      </w:r>
      <w:r>
        <w:fldChar w:fldCharType="begin"/>
      </w:r>
      <w:r>
        <w:instrText xml:space="preserve"> PAGEREF _Toc175910604 \h </w:instrText>
      </w:r>
      <w:r>
        <w:fldChar w:fldCharType="separate"/>
      </w:r>
      <w:r>
        <w:t>3</w:t>
      </w:r>
      <w:r>
        <w:fldChar w:fldCharType="end"/>
      </w:r>
      <w:r>
        <w:fldChar w:fldCharType="end"/>
      </w:r>
    </w:p>
    <w:p w14:paraId="6C7C0ADD">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"_Toc175910605" </w:instrText>
      </w:r>
      <w:r>
        <w:fldChar w:fldCharType="separate"/>
      </w:r>
      <w:r>
        <w:rPr>
          <w:rStyle w:val="34"/>
        </w:rPr>
        <w:t xml:space="preserve">4 </w:t>
      </w:r>
      <w:r>
        <w:rPr>
          <w:rStyle w:val="34"/>
          <w:rFonts w:hint="eastAsia"/>
        </w:rPr>
        <w:t xml:space="preserve"> 总体原则</w:t>
      </w:r>
      <w:r>
        <w:tab/>
      </w:r>
      <w:r>
        <w:fldChar w:fldCharType="begin"/>
      </w:r>
      <w:r>
        <w:instrText xml:space="preserve"> PAGEREF _Toc175910605 \h </w:instrText>
      </w:r>
      <w:r>
        <w:fldChar w:fldCharType="separate"/>
      </w:r>
      <w:r>
        <w:t>3</w:t>
      </w:r>
      <w:r>
        <w:fldChar w:fldCharType="end"/>
      </w:r>
      <w:r>
        <w:fldChar w:fldCharType="end"/>
      </w:r>
    </w:p>
    <w:p w14:paraId="1323D8A5">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"_Toc175910606" </w:instrText>
      </w:r>
      <w:r>
        <w:fldChar w:fldCharType="separate"/>
      </w:r>
      <w:r>
        <w:rPr>
          <w:rStyle w:val="34"/>
        </w:rPr>
        <w:t xml:space="preserve">5 </w:t>
      </w:r>
      <w:r>
        <w:rPr>
          <w:rStyle w:val="34"/>
          <w:rFonts w:hint="eastAsia"/>
        </w:rPr>
        <w:t xml:space="preserve"> 审查范围</w:t>
      </w:r>
      <w:r>
        <w:tab/>
      </w:r>
      <w:r>
        <w:fldChar w:fldCharType="begin"/>
      </w:r>
      <w:r>
        <w:instrText xml:space="preserve"> PAGEREF _Toc175910606 \h </w:instrText>
      </w:r>
      <w:r>
        <w:fldChar w:fldCharType="separate"/>
      </w:r>
      <w:r>
        <w:t>4</w:t>
      </w:r>
      <w:r>
        <w:fldChar w:fldCharType="end"/>
      </w:r>
      <w:r>
        <w:fldChar w:fldCharType="end"/>
      </w:r>
    </w:p>
    <w:p w14:paraId="5D57B5CE">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"_Toc175910607" </w:instrText>
      </w:r>
      <w:r>
        <w:fldChar w:fldCharType="separate"/>
      </w:r>
      <w:r>
        <w:rPr>
          <w:rStyle w:val="34"/>
        </w:rPr>
        <w:t xml:space="preserve">6 </w:t>
      </w:r>
      <w:r>
        <w:rPr>
          <w:rStyle w:val="34"/>
          <w:rFonts w:hint="eastAsia"/>
        </w:rPr>
        <w:t xml:space="preserve"> 审查材料</w:t>
      </w:r>
      <w:r>
        <w:tab/>
      </w:r>
      <w:r>
        <w:fldChar w:fldCharType="begin"/>
      </w:r>
      <w:r>
        <w:instrText xml:space="preserve"> PAGEREF _Toc175910607 \h </w:instrText>
      </w:r>
      <w:r>
        <w:fldChar w:fldCharType="separate"/>
      </w:r>
      <w:r>
        <w:t>5</w:t>
      </w:r>
      <w:r>
        <w:fldChar w:fldCharType="end"/>
      </w:r>
      <w:r>
        <w:fldChar w:fldCharType="end"/>
      </w:r>
    </w:p>
    <w:p w14:paraId="0E417955">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"_Toc175910608" </w:instrText>
      </w:r>
      <w:r>
        <w:fldChar w:fldCharType="separate"/>
      </w:r>
      <w:r>
        <w:rPr>
          <w:rStyle w:val="34"/>
        </w:rPr>
        <w:t xml:space="preserve">7 </w:t>
      </w:r>
      <w:r>
        <w:rPr>
          <w:rStyle w:val="34"/>
          <w:rFonts w:hint="eastAsia"/>
        </w:rPr>
        <w:t xml:space="preserve"> 合法性审查需考虑的因素</w:t>
      </w:r>
      <w:r>
        <w:tab/>
      </w:r>
      <w:r>
        <w:fldChar w:fldCharType="begin"/>
      </w:r>
      <w:r>
        <w:instrText xml:space="preserve"> PAGEREF _Toc175910608 \h </w:instrText>
      </w:r>
      <w:r>
        <w:fldChar w:fldCharType="separate"/>
      </w:r>
      <w:r>
        <w:t>6</w:t>
      </w:r>
      <w:r>
        <w:fldChar w:fldCharType="end"/>
      </w:r>
      <w:r>
        <w:fldChar w:fldCharType="end"/>
      </w:r>
    </w:p>
    <w:p w14:paraId="2E70A7DC">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"_Toc175910609" </w:instrText>
      </w:r>
      <w:r>
        <w:fldChar w:fldCharType="separate"/>
      </w:r>
      <w:r>
        <w:rPr>
          <w:rStyle w:val="34"/>
        </w:rPr>
        <w:t xml:space="preserve">8 </w:t>
      </w:r>
      <w:r>
        <w:rPr>
          <w:rStyle w:val="34"/>
          <w:rFonts w:hint="eastAsia"/>
        </w:rPr>
        <w:t xml:space="preserve"> 审查机构及人员</w:t>
      </w:r>
      <w:r>
        <w:tab/>
      </w:r>
      <w:r>
        <w:fldChar w:fldCharType="begin"/>
      </w:r>
      <w:r>
        <w:instrText xml:space="preserve"> PAGEREF _Toc175910609 \h </w:instrText>
      </w:r>
      <w:r>
        <w:fldChar w:fldCharType="separate"/>
      </w:r>
      <w:r>
        <w:t>8</w:t>
      </w:r>
      <w:r>
        <w:fldChar w:fldCharType="end"/>
      </w:r>
      <w:r>
        <w:fldChar w:fldCharType="end"/>
      </w:r>
    </w:p>
    <w:p w14:paraId="78CCD667">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"_Toc175910610" </w:instrText>
      </w:r>
      <w:r>
        <w:fldChar w:fldCharType="separate"/>
      </w:r>
      <w:r>
        <w:rPr>
          <w:rStyle w:val="34"/>
        </w:rPr>
        <w:t xml:space="preserve">9 </w:t>
      </w:r>
      <w:r>
        <w:rPr>
          <w:rStyle w:val="34"/>
          <w:rFonts w:hint="eastAsia"/>
        </w:rPr>
        <w:t xml:space="preserve"> 审查方式</w:t>
      </w:r>
      <w:r>
        <w:tab/>
      </w:r>
      <w:r>
        <w:fldChar w:fldCharType="begin"/>
      </w:r>
      <w:r>
        <w:instrText xml:space="preserve"> PAGEREF _Toc175910610 \h </w:instrText>
      </w:r>
      <w:r>
        <w:fldChar w:fldCharType="separate"/>
      </w:r>
      <w:r>
        <w:t>8</w:t>
      </w:r>
      <w:r>
        <w:fldChar w:fldCharType="end"/>
      </w:r>
      <w:r>
        <w:fldChar w:fldCharType="end"/>
      </w:r>
    </w:p>
    <w:p w14:paraId="0AFCDA9D">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"_Toc175910611" </w:instrText>
      </w:r>
      <w:r>
        <w:fldChar w:fldCharType="separate"/>
      </w:r>
      <w:r>
        <w:rPr>
          <w:rStyle w:val="34"/>
        </w:rPr>
        <w:t xml:space="preserve">10 </w:t>
      </w:r>
      <w:r>
        <w:rPr>
          <w:rStyle w:val="34"/>
          <w:rFonts w:hint="eastAsia"/>
        </w:rPr>
        <w:t xml:space="preserve"> 审查程序</w:t>
      </w:r>
      <w:r>
        <w:tab/>
      </w:r>
      <w:r>
        <w:fldChar w:fldCharType="begin"/>
      </w:r>
      <w:r>
        <w:instrText xml:space="preserve"> PAGEREF _Toc175910611 \h </w:instrText>
      </w:r>
      <w:r>
        <w:fldChar w:fldCharType="separate"/>
      </w:r>
      <w:r>
        <w:t>8</w:t>
      </w:r>
      <w:r>
        <w:fldChar w:fldCharType="end"/>
      </w:r>
      <w:r>
        <w:fldChar w:fldCharType="end"/>
      </w:r>
    </w:p>
    <w:p w14:paraId="12ACFEF9">
      <w:pPr>
        <w:pStyle w:val="20"/>
        <w:tabs>
          <w:tab w:val="right" w:leader="dot" w:pos="9344"/>
        </w:tabs>
        <w:rPr>
          <w:rFonts w:asciiTheme="minorHAnsi" w:hAnsiTheme="minorHAnsi" w:eastAsiaTheme="minorEastAsia" w:cstheme="minorBidi"/>
          <w:szCs w:val="22"/>
        </w:rPr>
      </w:pPr>
      <w:r>
        <w:fldChar w:fldCharType="begin"/>
      </w:r>
      <w:r>
        <w:instrText xml:space="preserve"> HYPERLINK \l "_Toc175910612" </w:instrText>
      </w:r>
      <w:r>
        <w:fldChar w:fldCharType="separate"/>
      </w:r>
      <w:r>
        <w:rPr>
          <w:rStyle w:val="34"/>
          <w:rFonts w:hint="eastAsia"/>
        </w:rPr>
        <w:t>附录A（规范性）</w:t>
      </w:r>
      <w:r>
        <w:rPr>
          <w:rStyle w:val="34"/>
        </w:rPr>
        <w:t xml:space="preserve">  </w:t>
      </w:r>
      <w:r>
        <w:rPr>
          <w:rStyle w:val="34"/>
          <w:rFonts w:hint="eastAsia"/>
        </w:rPr>
        <w:t>合法性审查事项目录清单</w:t>
      </w:r>
      <w:r>
        <w:tab/>
      </w:r>
      <w:r>
        <w:fldChar w:fldCharType="begin"/>
      </w:r>
      <w:r>
        <w:instrText xml:space="preserve"> PAGEREF _Toc175910612 \h </w:instrText>
      </w:r>
      <w:r>
        <w:fldChar w:fldCharType="separate"/>
      </w:r>
      <w:r>
        <w:t>10</w:t>
      </w:r>
      <w:r>
        <w:fldChar w:fldCharType="end"/>
      </w:r>
      <w:r>
        <w:fldChar w:fldCharType="end"/>
      </w:r>
    </w:p>
    <w:p w14:paraId="1B9AEB7C">
      <w:pPr>
        <w:pStyle w:val="93"/>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1F2CDF49">
      <w:pPr>
        <w:pStyle w:val="91"/>
        <w:spacing w:after="468"/>
      </w:pPr>
      <w:bookmarkStart w:id="22" w:name="_Toc175910601"/>
      <w:bookmarkStart w:id="23" w:name="BookMark2"/>
      <w:r>
        <w:rPr>
          <w:spacing w:val="320"/>
        </w:rPr>
        <w:t>前</w:t>
      </w:r>
      <w:r>
        <w:t>言</w:t>
      </w:r>
      <w:bookmarkEnd w:id="20"/>
      <w:bookmarkEnd w:id="21"/>
      <w:bookmarkEnd w:id="22"/>
    </w:p>
    <w:p w14:paraId="7B27DFF2">
      <w:pPr>
        <w:pStyle w:val="58"/>
        <w:ind w:firstLine="420"/>
      </w:pPr>
      <w:r>
        <w:rPr>
          <w:rFonts w:hint="eastAsia"/>
        </w:rPr>
        <w:t>本文件按照GB/T 1.1—2020《标准化工作导则  第1部分：标准化文件的结构和起草规则》的规定起草。</w:t>
      </w:r>
    </w:p>
    <w:p w14:paraId="39A781BE">
      <w:pPr>
        <w:pStyle w:val="58"/>
        <w:ind w:firstLine="420"/>
        <w:rPr>
          <w:color w:val="auto"/>
        </w:rPr>
      </w:pPr>
      <w:r>
        <w:rPr>
          <w:rFonts w:hint="eastAsia"/>
          <w:color w:val="auto"/>
        </w:rPr>
        <w:t>请注意本文件的某些内容可能涉及专利。本文件的发布机构不承担识别专利的责任。</w:t>
      </w:r>
    </w:p>
    <w:p w14:paraId="63B628D5">
      <w:pPr>
        <w:pStyle w:val="58"/>
        <w:ind w:firstLine="420"/>
        <w:rPr>
          <w:color w:val="auto"/>
        </w:rPr>
      </w:pPr>
      <w:r>
        <w:rPr>
          <w:rFonts w:hint="eastAsia"/>
          <w:color w:val="auto"/>
        </w:rPr>
        <w:t>本文件由如东县司法局提出。</w:t>
      </w:r>
    </w:p>
    <w:p w14:paraId="1A3F042A">
      <w:pPr>
        <w:pStyle w:val="58"/>
        <w:ind w:firstLine="420"/>
        <w:rPr>
          <w:color w:val="auto"/>
        </w:rPr>
      </w:pPr>
      <w:r>
        <w:rPr>
          <w:rFonts w:hint="eastAsia"/>
          <w:color w:val="auto"/>
        </w:rPr>
        <w:t>本文件由南通市司法局归口。</w:t>
      </w:r>
    </w:p>
    <w:p w14:paraId="2ADA1BCF">
      <w:pPr>
        <w:pStyle w:val="58"/>
        <w:ind w:firstLine="420"/>
        <w:rPr>
          <w:color w:val="auto"/>
        </w:rPr>
      </w:pPr>
      <w:r>
        <w:rPr>
          <w:rFonts w:hint="eastAsia"/>
          <w:color w:val="auto"/>
        </w:rPr>
        <w:t>本文件起草单位：如东县司法局、如东县市场监督管理局、南通市质量技术和标准化中心。</w:t>
      </w:r>
    </w:p>
    <w:p w14:paraId="3D6125A7">
      <w:pPr>
        <w:pStyle w:val="58"/>
        <w:ind w:firstLine="420"/>
        <w:rPr>
          <w:color w:val="auto"/>
        </w:rPr>
      </w:pPr>
      <w:r>
        <w:rPr>
          <w:rFonts w:hint="eastAsia"/>
          <w:color w:val="auto"/>
        </w:rPr>
        <w:t>本文件主要起草人：黄晨、秦海梅、季鸿飞、</w:t>
      </w:r>
      <w:r>
        <w:rPr>
          <w:rFonts w:hint="eastAsia"/>
          <w:color w:val="auto"/>
          <w:lang w:val="en-US" w:eastAsia="zh-CN"/>
        </w:rPr>
        <w:t>田浩、</w:t>
      </w:r>
      <w:r>
        <w:rPr>
          <w:rFonts w:hint="eastAsia"/>
          <w:color w:val="auto"/>
        </w:rPr>
        <w:t>缪悦、吴金池、朱晓雷、周倩。</w:t>
      </w:r>
    </w:p>
    <w:p w14:paraId="0FD4E2A2">
      <w:pPr>
        <w:pStyle w:val="58"/>
        <w:ind w:firstLine="420"/>
        <w:rPr>
          <w:color w:val="auto"/>
        </w:rPr>
      </w:pPr>
      <w:r>
        <w:rPr>
          <w:rFonts w:hint="eastAsia"/>
          <w:color w:val="auto"/>
        </w:rPr>
        <w:t>本文件为首次发布。</w:t>
      </w:r>
    </w:p>
    <w:p w14:paraId="23CF752E">
      <w:pPr>
        <w:pStyle w:val="58"/>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14:paraId="78019758">
      <w:pPr>
        <w:spacing w:line="20" w:lineRule="exact"/>
        <w:jc w:val="center"/>
        <w:rPr>
          <w:rFonts w:ascii="黑体" w:hAnsi="黑体" w:eastAsia="黑体"/>
          <w:sz w:val="32"/>
          <w:szCs w:val="32"/>
        </w:rPr>
      </w:pPr>
      <w:bookmarkStart w:id="24" w:name="BookMark4"/>
    </w:p>
    <w:p w14:paraId="6824E81A">
      <w:pPr>
        <w:spacing w:line="20" w:lineRule="exact"/>
        <w:jc w:val="center"/>
        <w:rPr>
          <w:rFonts w:ascii="黑体" w:hAnsi="黑体" w:eastAsia="黑体"/>
          <w:sz w:val="32"/>
          <w:szCs w:val="32"/>
        </w:rPr>
      </w:pPr>
    </w:p>
    <w:sdt>
      <w:sdtPr>
        <w:tag w:val="NEW_STAND_NAME"/>
        <w:id w:val="595910757"/>
        <w:lock w:val="sdtLocked"/>
        <w:placeholder>
          <w:docPart w:val="D68B981E2BC34BA1AF2AF550D7DD1865"/>
        </w:placeholder>
      </w:sdtPr>
      <w:sdtContent>
        <w:p w14:paraId="66DAC21E">
          <w:pPr>
            <w:pStyle w:val="179"/>
            <w:spacing w:beforeLines="1" w:afterLines="220"/>
          </w:pPr>
          <w:bookmarkStart w:id="25" w:name="NEW_STAND_NAME"/>
          <w:r>
            <w:rPr>
              <w:rFonts w:hint="eastAsia"/>
            </w:rPr>
            <w:t>乡镇（街道）司法所合法性审查工作指南</w:t>
          </w:r>
        </w:p>
      </w:sdtContent>
    </w:sdt>
    <w:bookmarkEnd w:id="25"/>
    <w:p w14:paraId="34D442C5">
      <w:pPr>
        <w:pStyle w:val="106"/>
        <w:spacing w:before="312" w:after="312"/>
      </w:pPr>
      <w:bookmarkStart w:id="26" w:name="_Toc26986530"/>
      <w:bookmarkStart w:id="27" w:name="_Toc26648465"/>
      <w:bookmarkStart w:id="28" w:name="_Toc26718930"/>
      <w:bookmarkStart w:id="29" w:name="_Toc175908061"/>
      <w:bookmarkStart w:id="30" w:name="_Toc24884211"/>
      <w:bookmarkStart w:id="31" w:name="_Toc24884218"/>
      <w:bookmarkStart w:id="32" w:name="_Toc175908028"/>
      <w:bookmarkStart w:id="33" w:name="_Toc175910602"/>
      <w:bookmarkStart w:id="34" w:name="_Toc26986771"/>
      <w:bookmarkStart w:id="35" w:name="_Toc17233333"/>
      <w:bookmarkStart w:id="36" w:name="_Toc17233325"/>
      <w:r>
        <w:rPr>
          <w:rFonts w:hint="eastAsia"/>
        </w:rPr>
        <w:t>范围</w:t>
      </w:r>
      <w:bookmarkEnd w:id="26"/>
      <w:bookmarkEnd w:id="27"/>
      <w:bookmarkEnd w:id="28"/>
      <w:bookmarkEnd w:id="29"/>
      <w:bookmarkEnd w:id="30"/>
      <w:bookmarkEnd w:id="31"/>
      <w:bookmarkEnd w:id="32"/>
      <w:bookmarkEnd w:id="33"/>
      <w:bookmarkEnd w:id="34"/>
      <w:bookmarkEnd w:id="35"/>
      <w:bookmarkEnd w:id="36"/>
    </w:p>
    <w:p w14:paraId="1251268C">
      <w:pPr>
        <w:pStyle w:val="58"/>
        <w:ind w:firstLine="405" w:firstLineChars="193"/>
      </w:pPr>
      <w:bookmarkStart w:id="37" w:name="_Toc24884212"/>
      <w:bookmarkStart w:id="38" w:name="_Toc17233326"/>
      <w:bookmarkStart w:id="39" w:name="_Toc24884219"/>
      <w:bookmarkStart w:id="40" w:name="_Toc17233334"/>
      <w:bookmarkStart w:id="41" w:name="_Toc26648466"/>
      <w:r>
        <w:rPr>
          <w:rFonts w:hint="eastAsia"/>
        </w:rPr>
        <w:t>本文件确立了乡镇(街道)司法所合法性审查工作的总体原则，提供了审查范围、所需审查材料、</w:t>
      </w:r>
    </w:p>
    <w:p w14:paraId="1B6FF8EB">
      <w:pPr>
        <w:pStyle w:val="58"/>
        <w:ind w:firstLine="0" w:firstLineChars="0"/>
      </w:pPr>
      <w:r>
        <w:rPr>
          <w:rFonts w:hint="eastAsia"/>
        </w:rPr>
        <w:t>合法性需考虑的因素、审查机构及人员、审查方式和审查程序等方面的指南。</w:t>
      </w:r>
    </w:p>
    <w:p w14:paraId="3D253B68">
      <w:pPr>
        <w:pStyle w:val="58"/>
        <w:ind w:firstLine="420"/>
      </w:pPr>
      <w:r>
        <w:rPr>
          <w:rFonts w:hint="eastAsia"/>
        </w:rPr>
        <w:t>本文件适用于指导乡镇人民政府</w:t>
      </w:r>
      <w:bookmarkStart w:id="95" w:name="_GoBack"/>
      <w:bookmarkEnd w:id="95"/>
      <w:r>
        <w:rPr>
          <w:rFonts w:hint="eastAsia"/>
        </w:rPr>
        <w:t>和街道办事处行政规范性文件、重大行政决策、行政协议、重大行</w:t>
      </w:r>
    </w:p>
    <w:p w14:paraId="3351C945">
      <w:pPr>
        <w:pStyle w:val="58"/>
        <w:ind w:firstLine="0" w:firstLineChars="0"/>
      </w:pPr>
      <w:r>
        <w:rPr>
          <w:rFonts w:hint="eastAsia"/>
        </w:rPr>
        <w:t>政执法决定等合法性审查工作。</w:t>
      </w:r>
    </w:p>
    <w:p w14:paraId="6AEED8D6">
      <w:pPr>
        <w:pStyle w:val="106"/>
        <w:spacing w:before="312" w:after="312"/>
        <w:rPr>
          <w:color w:val="auto"/>
        </w:rPr>
      </w:pPr>
      <w:bookmarkStart w:id="42" w:name="_Toc175910603"/>
      <w:bookmarkStart w:id="43" w:name="_Toc26986772"/>
      <w:bookmarkStart w:id="44" w:name="_Toc26986531"/>
      <w:bookmarkStart w:id="45" w:name="_Toc175908062"/>
      <w:bookmarkStart w:id="46" w:name="_Toc175908029"/>
      <w:bookmarkStart w:id="47" w:name="_Toc26718931"/>
      <w:r>
        <w:rPr>
          <w:rFonts w:hint="eastAsia"/>
        </w:rPr>
        <w:t>规</w:t>
      </w:r>
      <w:r>
        <w:rPr>
          <w:rFonts w:hint="eastAsia"/>
          <w:color w:val="auto"/>
        </w:rPr>
        <w:t>范性引用文件</w:t>
      </w:r>
      <w:bookmarkEnd w:id="37"/>
      <w:bookmarkEnd w:id="38"/>
      <w:bookmarkEnd w:id="39"/>
      <w:bookmarkEnd w:id="40"/>
      <w:bookmarkEnd w:id="41"/>
      <w:bookmarkEnd w:id="42"/>
      <w:bookmarkEnd w:id="43"/>
      <w:bookmarkEnd w:id="44"/>
      <w:bookmarkEnd w:id="45"/>
      <w:bookmarkEnd w:id="46"/>
      <w:bookmarkEnd w:id="47"/>
    </w:p>
    <w:sdt>
      <w:sdtPr>
        <w:rPr>
          <w:rFonts w:hint="eastAsia"/>
          <w:color w:val="auto"/>
        </w:rPr>
        <w:id w:val="715848253"/>
        <w:placeholder>
          <w:docPart w:val="E73E9D20E32B41279CE5C77410F33F7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2B9FD52F">
          <w:pPr>
            <w:pStyle w:val="58"/>
            <w:ind w:firstLine="420"/>
            <w:rPr>
              <w:color w:val="auto"/>
            </w:rPr>
          </w:pPr>
          <w:r>
            <w:rPr>
              <w:rFonts w:hint="eastAsia"/>
              <w:color w:val="auto"/>
            </w:rPr>
            <w:t>本文件没有规范性引用文件。</w:t>
          </w:r>
        </w:p>
      </w:sdtContent>
    </w:sdt>
    <w:p w14:paraId="09D4A426">
      <w:pPr>
        <w:pStyle w:val="106"/>
        <w:spacing w:before="312" w:after="312"/>
        <w:rPr>
          <w:color w:val="auto"/>
        </w:rPr>
      </w:pPr>
      <w:bookmarkStart w:id="48" w:name="_Toc175910604"/>
      <w:bookmarkStart w:id="49" w:name="_Toc175908030"/>
      <w:bookmarkStart w:id="50" w:name="_Toc175908063"/>
      <w:r>
        <w:rPr>
          <w:rFonts w:hint="eastAsia"/>
          <w:color w:val="auto"/>
          <w:szCs w:val="21"/>
        </w:rPr>
        <w:t>术语和定义</w:t>
      </w:r>
      <w:bookmarkEnd w:id="48"/>
      <w:bookmarkEnd w:id="49"/>
      <w:bookmarkEnd w:id="50"/>
    </w:p>
    <w:sdt>
      <w:sdtPr>
        <w:rPr>
          <w:color w:val="auto"/>
        </w:rPr>
        <w:id w:val="-1909835108"/>
        <w:placeholder>
          <w:docPart w:val="7303460BFAF24675906FA3304E47E4B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14:paraId="0AF51CEA">
          <w:pPr>
            <w:pStyle w:val="58"/>
            <w:ind w:firstLine="420"/>
            <w:rPr>
              <w:color w:val="auto"/>
            </w:rPr>
          </w:pPr>
          <w:bookmarkStart w:id="51" w:name="_Toc26986532"/>
          <w:bookmarkEnd w:id="51"/>
          <w:r>
            <w:rPr>
              <w:color w:val="auto"/>
            </w:rPr>
            <w:t>下列术语和定义适用于本文件。</w:t>
          </w:r>
        </w:p>
      </w:sdtContent>
    </w:sdt>
    <w:p w14:paraId="6901B6C5">
      <w:pPr>
        <w:pStyle w:val="225"/>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行政规范性文件</w:t>
      </w:r>
      <w:r>
        <w:rPr>
          <w:rFonts w:ascii="Times New Roman"/>
          <w:color w:val="auto"/>
        </w:rPr>
        <w:t>administrative normative document</w:t>
      </w:r>
    </w:p>
    <w:p w14:paraId="3D76A9F9">
      <w:pPr>
        <w:pStyle w:val="58"/>
        <w:ind w:firstLine="420"/>
        <w:rPr>
          <w:color w:val="auto"/>
        </w:rPr>
      </w:pPr>
      <w:r>
        <w:rPr>
          <w:rFonts w:hint="eastAsia"/>
          <w:color w:val="auto"/>
        </w:rPr>
        <w:t>由乡镇人民政府和街道办事处依照法定权限、程序制定并公开发布，涉及公民、法人或者其他组织</w:t>
      </w:r>
    </w:p>
    <w:p w14:paraId="5A64F563">
      <w:pPr>
        <w:pStyle w:val="58"/>
        <w:ind w:firstLine="0" w:firstLineChars="0"/>
        <w:rPr>
          <w:color w:val="auto"/>
        </w:rPr>
      </w:pPr>
      <w:r>
        <w:rPr>
          <w:rFonts w:hint="eastAsia"/>
          <w:color w:val="auto"/>
        </w:rPr>
        <w:t>权利义务，在本行政区域内具有普遍约束力，在一定时期内反复适用的公文。</w:t>
      </w:r>
    </w:p>
    <w:p w14:paraId="5443E95F">
      <w:pPr>
        <w:pStyle w:val="225"/>
        <w:ind w:left="420" w:hanging="420" w:hangingChars="200"/>
        <w:rPr>
          <w:rFonts w:ascii="Times New Roman"/>
          <w:color w:val="auto"/>
        </w:rPr>
      </w:pPr>
      <w:r>
        <w:rPr>
          <w:rFonts w:ascii="黑体" w:hAnsi="黑体" w:eastAsia="黑体"/>
          <w:color w:val="auto"/>
        </w:rPr>
        <w:br w:type="textWrapping"/>
      </w:r>
      <w:r>
        <w:rPr>
          <w:rFonts w:hint="eastAsia" w:ascii="黑体" w:hAnsi="黑体" w:eastAsia="黑体"/>
          <w:color w:val="auto"/>
        </w:rPr>
        <w:t>重大行政决策</w:t>
      </w:r>
      <w:r>
        <w:rPr>
          <w:rFonts w:ascii="Times New Roman"/>
          <w:color w:val="auto"/>
        </w:rPr>
        <w:t>major administrative decision</w:t>
      </w:r>
    </w:p>
    <w:p w14:paraId="5D6A9EFE">
      <w:pPr>
        <w:pStyle w:val="58"/>
        <w:ind w:firstLine="420"/>
        <w:rPr>
          <w:color w:val="auto"/>
        </w:rPr>
      </w:pPr>
      <w:r>
        <w:rPr>
          <w:rFonts w:hint="eastAsia"/>
          <w:color w:val="auto"/>
        </w:rPr>
        <w:t>乡镇人民政府和街道办事处依照法定职权，对关系辖区内经济社会发展全局，社会涉及面广，与公</w:t>
      </w:r>
    </w:p>
    <w:p w14:paraId="6792F0D7">
      <w:pPr>
        <w:pStyle w:val="58"/>
        <w:ind w:firstLine="0" w:firstLineChars="0"/>
        <w:rPr>
          <w:color w:val="auto"/>
        </w:rPr>
      </w:pPr>
      <w:r>
        <w:rPr>
          <w:rFonts w:hint="eastAsia"/>
          <w:color w:val="auto"/>
        </w:rPr>
        <w:t>民、法人或者其他组织利益密切相关的重大事项而作出的决策。</w:t>
      </w:r>
    </w:p>
    <w:p w14:paraId="3C01C864">
      <w:pPr>
        <w:pStyle w:val="225"/>
        <w:ind w:left="420" w:hanging="420" w:hangingChars="200"/>
        <w:rPr>
          <w:rFonts w:ascii="Times New Roman"/>
          <w:color w:val="auto"/>
        </w:rPr>
      </w:pPr>
      <w:r>
        <w:rPr>
          <w:rFonts w:ascii="黑体" w:hAnsi="黑体" w:eastAsia="黑体"/>
          <w:color w:val="auto"/>
        </w:rPr>
        <w:br w:type="textWrapping"/>
      </w:r>
      <w:r>
        <w:rPr>
          <w:rFonts w:hint="eastAsia" w:ascii="黑体" w:hAnsi="黑体" w:eastAsia="黑体"/>
          <w:color w:val="auto"/>
        </w:rPr>
        <w:t>行政协议</w:t>
      </w:r>
      <w:r>
        <w:rPr>
          <w:rFonts w:ascii="Times New Roman"/>
          <w:color w:val="auto"/>
        </w:rPr>
        <w:t>administrative agreement</w:t>
      </w:r>
    </w:p>
    <w:p w14:paraId="5E24702A">
      <w:pPr>
        <w:pStyle w:val="58"/>
        <w:ind w:firstLine="420"/>
        <w:rPr>
          <w:color w:val="auto"/>
        </w:rPr>
      </w:pPr>
      <w:r>
        <w:rPr>
          <w:rFonts w:hint="eastAsia"/>
          <w:color w:val="auto"/>
        </w:rPr>
        <w:t>乡镇人民政府和街道办事处在行政管理、公共服务</w:t>
      </w:r>
      <w:r>
        <w:rPr>
          <w:rFonts w:hint="eastAsia"/>
          <w:color w:val="auto"/>
          <w:lang w:eastAsia="zh-CN"/>
        </w:rPr>
        <w:t>等</w:t>
      </w:r>
      <w:r>
        <w:rPr>
          <w:rFonts w:hint="eastAsia"/>
          <w:color w:val="auto"/>
        </w:rPr>
        <w:t>活动中，作为一方当事人与公民、法人和其他组织订立的，涉及国有资产、财政资金使用和自然资源、公共资源利用等具有行政法上权利</w:t>
      </w:r>
    </w:p>
    <w:p w14:paraId="68E8BA78">
      <w:pPr>
        <w:pStyle w:val="58"/>
        <w:ind w:firstLine="0" w:firstLineChars="0"/>
        <w:rPr>
          <w:color w:val="auto"/>
        </w:rPr>
      </w:pPr>
      <w:r>
        <w:rPr>
          <w:rFonts w:hint="eastAsia"/>
          <w:color w:val="auto"/>
        </w:rPr>
        <w:t>义务内容的协议。</w:t>
      </w:r>
    </w:p>
    <w:p w14:paraId="2B6B187F">
      <w:pPr>
        <w:pStyle w:val="225"/>
        <w:ind w:left="420" w:hanging="420" w:hangingChars="200"/>
        <w:rPr>
          <w:rFonts w:ascii="Times New Roman"/>
          <w:color w:val="auto"/>
        </w:rPr>
      </w:pPr>
      <w:r>
        <w:rPr>
          <w:rFonts w:ascii="黑体" w:hAnsi="黑体" w:eastAsia="黑体"/>
          <w:color w:val="auto"/>
        </w:rPr>
        <w:br w:type="textWrapping"/>
      </w:r>
      <w:r>
        <w:rPr>
          <w:rFonts w:hint="eastAsia" w:ascii="黑体" w:hAnsi="黑体" w:eastAsia="黑体"/>
          <w:color w:val="auto"/>
        </w:rPr>
        <w:t>重大行政执法决定</w:t>
      </w:r>
      <w:r>
        <w:rPr>
          <w:rFonts w:ascii="Times New Roman"/>
          <w:color w:val="auto"/>
        </w:rPr>
        <w:t>major administrative law enforcement decision</w:t>
      </w:r>
    </w:p>
    <w:p w14:paraId="7B178A8A">
      <w:pPr>
        <w:pStyle w:val="58"/>
        <w:ind w:firstLine="420"/>
        <w:rPr>
          <w:color w:val="auto"/>
        </w:rPr>
      </w:pPr>
      <w:r>
        <w:rPr>
          <w:rFonts w:hint="eastAsia"/>
          <w:color w:val="auto"/>
        </w:rPr>
        <w:t>由乡镇人民政府和街道办事处作出的，涉及重大公共利益，可能造成重大社会影响或引发社会风险，</w:t>
      </w:r>
    </w:p>
    <w:p w14:paraId="4780B6D3">
      <w:pPr>
        <w:pStyle w:val="58"/>
        <w:ind w:firstLine="0" w:firstLineChars="0"/>
        <w:rPr>
          <w:color w:val="auto"/>
        </w:rPr>
      </w:pPr>
      <w:r>
        <w:rPr>
          <w:rFonts w:hint="eastAsia"/>
          <w:color w:val="auto"/>
        </w:rPr>
        <w:t>直接关系行政相对人或第三人重大权益，经过听证程序作出行政执法决定，以及案件情况疑难复杂、涉</w:t>
      </w:r>
    </w:p>
    <w:p w14:paraId="090E279A">
      <w:pPr>
        <w:pStyle w:val="58"/>
        <w:ind w:firstLine="0" w:firstLineChars="0"/>
        <w:rPr>
          <w:color w:val="auto"/>
        </w:rPr>
      </w:pPr>
      <w:r>
        <w:rPr>
          <w:rFonts w:hint="eastAsia"/>
          <w:color w:val="auto"/>
        </w:rPr>
        <w:t>及多个法律关系的行政执法决定。</w:t>
      </w:r>
    </w:p>
    <w:p w14:paraId="26C16964">
      <w:pPr>
        <w:pStyle w:val="106"/>
        <w:spacing w:before="312" w:after="312"/>
        <w:rPr>
          <w:color w:val="auto"/>
        </w:rPr>
      </w:pPr>
      <w:bookmarkStart w:id="52" w:name="_Toc175908031"/>
      <w:bookmarkStart w:id="53" w:name="_Toc175910605"/>
      <w:bookmarkStart w:id="54" w:name="_Toc175908064"/>
      <w:r>
        <w:rPr>
          <w:rFonts w:hint="eastAsia"/>
          <w:color w:val="auto"/>
        </w:rPr>
        <w:t>总体原则</w:t>
      </w:r>
      <w:bookmarkEnd w:id="52"/>
      <w:bookmarkEnd w:id="53"/>
      <w:bookmarkEnd w:id="54"/>
    </w:p>
    <w:p w14:paraId="1A9C31DE">
      <w:pPr>
        <w:pStyle w:val="107"/>
        <w:spacing w:before="156" w:after="156"/>
        <w:rPr>
          <w:color w:val="auto"/>
        </w:rPr>
      </w:pPr>
      <w:r>
        <w:rPr>
          <w:rFonts w:hint="eastAsia"/>
          <w:color w:val="auto"/>
        </w:rPr>
        <w:t>合法性原则</w:t>
      </w:r>
    </w:p>
    <w:p w14:paraId="265C7687">
      <w:pPr>
        <w:pStyle w:val="58"/>
        <w:ind w:firstLine="420"/>
        <w:rPr>
          <w:color w:val="auto"/>
        </w:rPr>
      </w:pPr>
      <w:r>
        <w:rPr>
          <w:rFonts w:hint="eastAsia"/>
          <w:color w:val="auto"/>
        </w:rPr>
        <w:t>以国家法律、法规、规章、</w:t>
      </w:r>
      <w:r>
        <w:rPr>
          <w:rFonts w:hint="eastAsia"/>
          <w:color w:val="auto"/>
          <w:lang w:eastAsia="zh-CN"/>
        </w:rPr>
        <w:t>和上级行政规范性文件</w:t>
      </w:r>
      <w:r>
        <w:rPr>
          <w:rFonts w:hint="eastAsia"/>
          <w:color w:val="auto"/>
        </w:rPr>
        <w:t>为依据，</w:t>
      </w:r>
      <w:r>
        <w:rPr>
          <w:rFonts w:hint="eastAsia"/>
          <w:color w:val="auto"/>
          <w:lang w:eastAsia="zh-CN"/>
        </w:rPr>
        <w:t>保障审查事项</w:t>
      </w:r>
      <w:r>
        <w:rPr>
          <w:rFonts w:hint="eastAsia"/>
          <w:color w:val="auto"/>
        </w:rPr>
        <w:t>在法律框架内运行。</w:t>
      </w:r>
    </w:p>
    <w:p w14:paraId="6ED1944C">
      <w:pPr>
        <w:pStyle w:val="107"/>
        <w:spacing w:before="156" w:after="156"/>
        <w:rPr>
          <w:color w:val="auto"/>
        </w:rPr>
      </w:pPr>
      <w:bookmarkStart w:id="55" w:name="_Toc175908033"/>
      <w:r>
        <w:rPr>
          <w:rFonts w:hint="eastAsia"/>
          <w:color w:val="auto"/>
        </w:rPr>
        <w:t>全面审核</w:t>
      </w:r>
      <w:bookmarkEnd w:id="55"/>
      <w:r>
        <w:rPr>
          <w:rFonts w:hint="eastAsia"/>
          <w:color w:val="auto"/>
        </w:rPr>
        <w:t>原则</w:t>
      </w:r>
    </w:p>
    <w:p w14:paraId="316A1D18">
      <w:pPr>
        <w:pStyle w:val="58"/>
        <w:ind w:firstLine="420"/>
        <w:rPr>
          <w:color w:val="auto"/>
        </w:rPr>
      </w:pPr>
      <w:r>
        <w:rPr>
          <w:rFonts w:hint="eastAsia"/>
          <w:color w:val="auto"/>
        </w:rPr>
        <w:t>对政府行为</w:t>
      </w:r>
      <w:r>
        <w:rPr>
          <w:rFonts w:hint="eastAsia"/>
          <w:color w:val="auto"/>
          <w:lang w:eastAsia="zh-CN"/>
        </w:rPr>
        <w:t>需要审查的</w:t>
      </w:r>
      <w:r>
        <w:rPr>
          <w:rFonts w:hint="eastAsia"/>
          <w:color w:val="auto"/>
        </w:rPr>
        <w:t>方面，包括行政规范性文件、重大行政决策、行政协议、</w:t>
      </w:r>
      <w:r>
        <w:rPr>
          <w:rFonts w:hint="eastAsia"/>
          <w:color w:val="auto"/>
          <w:lang w:eastAsia="zh-CN"/>
        </w:rPr>
        <w:t>重大行政</w:t>
      </w:r>
      <w:r>
        <w:rPr>
          <w:rFonts w:hint="eastAsia"/>
          <w:color w:val="auto"/>
        </w:rPr>
        <w:t>执法决定等进行全方位审核。</w:t>
      </w:r>
    </w:p>
    <w:p w14:paraId="4430EA05">
      <w:pPr>
        <w:pStyle w:val="107"/>
        <w:spacing w:before="156" w:after="156"/>
        <w:rPr>
          <w:color w:val="auto"/>
        </w:rPr>
      </w:pPr>
      <w:r>
        <w:rPr>
          <w:rFonts w:hint="eastAsia"/>
          <w:color w:val="auto"/>
        </w:rPr>
        <w:t>公正客观原则</w:t>
      </w:r>
    </w:p>
    <w:p w14:paraId="1648AF40">
      <w:pPr>
        <w:pStyle w:val="58"/>
        <w:ind w:firstLine="420"/>
        <w:rPr>
          <w:color w:val="auto"/>
        </w:rPr>
      </w:pPr>
      <w:r>
        <w:rPr>
          <w:rFonts w:hint="eastAsia"/>
          <w:color w:val="auto"/>
        </w:rPr>
        <w:t>秉持中立、客观的态度开展合法性审查活动，不受其他不当因素干扰。</w:t>
      </w:r>
    </w:p>
    <w:p w14:paraId="5662FF3D">
      <w:pPr>
        <w:pStyle w:val="107"/>
        <w:spacing w:before="156" w:after="156"/>
        <w:rPr>
          <w:color w:val="auto"/>
        </w:rPr>
      </w:pPr>
      <w:bookmarkStart w:id="56" w:name="_Toc175908035"/>
      <w:r>
        <w:rPr>
          <w:rFonts w:hint="eastAsia"/>
          <w:color w:val="auto"/>
        </w:rPr>
        <w:t>注重</w:t>
      </w:r>
      <w:bookmarkEnd w:id="56"/>
      <w:r>
        <w:rPr>
          <w:rFonts w:hint="eastAsia"/>
          <w:color w:val="auto"/>
        </w:rPr>
        <w:t>实效原则</w:t>
      </w:r>
    </w:p>
    <w:p w14:paraId="30B1BA59">
      <w:pPr>
        <w:pStyle w:val="58"/>
        <w:ind w:firstLine="420"/>
        <w:rPr>
          <w:color w:val="auto"/>
        </w:rPr>
      </w:pPr>
      <w:r>
        <w:rPr>
          <w:rFonts w:hint="eastAsia"/>
          <w:color w:val="auto"/>
        </w:rPr>
        <w:t>不仅要确保政府合法性审查形式上合法，更要关注其在实际执行中是否能够切实保障政府权益和公共利益。</w:t>
      </w:r>
    </w:p>
    <w:p w14:paraId="5D6D7108">
      <w:pPr>
        <w:pStyle w:val="107"/>
        <w:spacing w:before="156" w:after="156"/>
        <w:rPr>
          <w:color w:val="auto"/>
        </w:rPr>
      </w:pPr>
      <w:bookmarkStart w:id="57" w:name="_Toc175908036"/>
      <w:r>
        <w:rPr>
          <w:rFonts w:hint="eastAsia"/>
          <w:color w:val="auto"/>
        </w:rPr>
        <w:t>风险防范</w:t>
      </w:r>
      <w:bookmarkEnd w:id="57"/>
      <w:r>
        <w:rPr>
          <w:rFonts w:hint="eastAsia"/>
          <w:color w:val="auto"/>
        </w:rPr>
        <w:t>原则</w:t>
      </w:r>
    </w:p>
    <w:p w14:paraId="55262D9C">
      <w:pPr>
        <w:pStyle w:val="58"/>
        <w:ind w:firstLine="420"/>
      </w:pPr>
      <w:r>
        <w:rPr>
          <w:rFonts w:hint="eastAsia"/>
        </w:rPr>
        <w:t>始终将风险防范放在重要位置，通过合法性审核提前识别和</w:t>
      </w:r>
      <w:r>
        <w:rPr>
          <w:rFonts w:hint="eastAsia"/>
          <w:lang w:eastAsia="zh-CN"/>
        </w:rPr>
        <w:t>防范</w:t>
      </w:r>
      <w:r>
        <w:rPr>
          <w:rFonts w:hint="eastAsia"/>
        </w:rPr>
        <w:t>潜在风险。</w:t>
      </w:r>
    </w:p>
    <w:p w14:paraId="3A24BF1F">
      <w:pPr>
        <w:pStyle w:val="106"/>
        <w:spacing w:before="312" w:after="312"/>
      </w:pPr>
      <w:bookmarkStart w:id="58" w:name="_Toc175908065"/>
      <w:bookmarkStart w:id="59" w:name="_Toc175908037"/>
      <w:bookmarkStart w:id="60" w:name="_Toc175910606"/>
      <w:r>
        <w:rPr>
          <w:rFonts w:hint="eastAsia"/>
        </w:rPr>
        <w:t>审查范围</w:t>
      </w:r>
      <w:bookmarkEnd w:id="58"/>
      <w:bookmarkEnd w:id="59"/>
      <w:bookmarkEnd w:id="60"/>
    </w:p>
    <w:p w14:paraId="5394F747">
      <w:pPr>
        <w:pStyle w:val="107"/>
        <w:spacing w:before="156" w:after="156"/>
      </w:pPr>
      <w:r>
        <w:rPr>
          <w:rFonts w:hint="eastAsia"/>
        </w:rPr>
        <w:t>行政规范性文件</w:t>
      </w:r>
    </w:p>
    <w:p w14:paraId="4AF5508D">
      <w:pPr>
        <w:pStyle w:val="167"/>
      </w:pPr>
      <w:r>
        <w:rPr>
          <w:rFonts w:hint="eastAsia"/>
        </w:rPr>
        <w:t>被审查的行政规范性文件</w:t>
      </w:r>
      <w:r>
        <w:rPr>
          <w:rFonts w:hint="eastAsia"/>
          <w:lang w:eastAsia="zh-CN"/>
        </w:rPr>
        <w:t>使用</w:t>
      </w:r>
      <w:r>
        <w:rPr>
          <w:rFonts w:hint="eastAsia"/>
        </w:rPr>
        <w:t>的名称包含但不限于“决议”“决定”“规定”“办法”“细则”“规则”“通知” 等。</w:t>
      </w:r>
    </w:p>
    <w:p w14:paraId="21CC23EA">
      <w:pPr>
        <w:pStyle w:val="167"/>
      </w:pPr>
      <w:r>
        <w:rPr>
          <w:rFonts w:hint="eastAsia"/>
        </w:rPr>
        <w:t>下列文件一般不属于行政规范性文件审查范围：</w:t>
      </w:r>
    </w:p>
    <w:p w14:paraId="1A0335F1">
      <w:pPr>
        <w:pStyle w:val="176"/>
      </w:pPr>
      <w:r>
        <w:rPr>
          <w:rFonts w:hint="eastAsia"/>
        </w:rPr>
        <w:t>会议文件（包括会议通知、纪要、讲话材料）；</w:t>
      </w:r>
    </w:p>
    <w:p w14:paraId="4CE14019">
      <w:pPr>
        <w:pStyle w:val="176"/>
      </w:pPr>
      <w:r>
        <w:rPr>
          <w:rFonts w:hint="eastAsia"/>
        </w:rPr>
        <w:t>商洽性工作函；</w:t>
      </w:r>
    </w:p>
    <w:p w14:paraId="1C9C705A">
      <w:pPr>
        <w:pStyle w:val="176"/>
      </w:pPr>
      <w:r>
        <w:rPr>
          <w:rFonts w:hint="eastAsia"/>
        </w:rPr>
        <w:t>工作规划、计划、要点；</w:t>
      </w:r>
    </w:p>
    <w:p w14:paraId="10361EDA">
      <w:pPr>
        <w:pStyle w:val="176"/>
      </w:pPr>
      <w:r>
        <w:rPr>
          <w:rFonts w:hint="eastAsia"/>
        </w:rPr>
        <w:t>工作考核、检查、行政追责等方面的文件；</w:t>
      </w:r>
    </w:p>
    <w:p w14:paraId="0B271EFC">
      <w:pPr>
        <w:pStyle w:val="176"/>
      </w:pPr>
      <w:r>
        <w:rPr>
          <w:rFonts w:hint="eastAsia"/>
        </w:rPr>
        <w:t>行政机关内部执行的管理规范、工作制度、机构编制规定；</w:t>
      </w:r>
    </w:p>
    <w:p w14:paraId="1CB01DF0">
      <w:pPr>
        <w:pStyle w:val="176"/>
      </w:pPr>
      <w:r>
        <w:rPr>
          <w:rFonts w:hint="eastAsia"/>
        </w:rPr>
        <w:t>人事任免及工作表彰、通报；</w:t>
      </w:r>
    </w:p>
    <w:p w14:paraId="72B20155">
      <w:pPr>
        <w:pStyle w:val="176"/>
      </w:pPr>
      <w:r>
        <w:rPr>
          <w:rFonts w:hint="eastAsia"/>
        </w:rPr>
        <w:t>成立工作领导小组、协调机构等通知；</w:t>
      </w:r>
    </w:p>
    <w:p w14:paraId="6183D557">
      <w:pPr>
        <w:pStyle w:val="176"/>
      </w:pPr>
      <w:r>
        <w:rPr>
          <w:rFonts w:hint="eastAsia"/>
        </w:rPr>
        <w:t>突发公共事件应急预案；</w:t>
      </w:r>
    </w:p>
    <w:p w14:paraId="6881414B">
      <w:pPr>
        <w:pStyle w:val="176"/>
      </w:pPr>
      <w:r>
        <w:rPr>
          <w:rFonts w:hint="eastAsia"/>
        </w:rPr>
        <w:t>征地补偿、安置方案；</w:t>
      </w:r>
    </w:p>
    <w:p w14:paraId="7CEE1FA7">
      <w:pPr>
        <w:pStyle w:val="176"/>
      </w:pPr>
      <w:r>
        <w:rPr>
          <w:rFonts w:hint="eastAsia"/>
        </w:rPr>
        <w:t>公示办事时间、办事地点等事项的便民通告；</w:t>
      </w:r>
    </w:p>
    <w:p w14:paraId="7D0347A7">
      <w:pPr>
        <w:pStyle w:val="176"/>
      </w:pPr>
      <w:r>
        <w:rPr>
          <w:rFonts w:hint="eastAsia"/>
        </w:rPr>
        <w:t>行政机关对公务员、行政机关职员、公办学校教职工、医疗机构工作人员及全额拨款的其他事业单位职工、国有企业领导人的人事、工资、绩效等方面管理的文件；</w:t>
      </w:r>
    </w:p>
    <w:p w14:paraId="01FA65A6">
      <w:pPr>
        <w:pStyle w:val="176"/>
      </w:pPr>
      <w:r>
        <w:rPr>
          <w:rFonts w:hint="eastAsia"/>
        </w:rPr>
        <w:t>财政部门仅对格式文本、报表、会计准则、会计核算制度等技术事项进行规定的文件以及仅下达预算、分配资金、批复项目的文件；</w:t>
      </w:r>
    </w:p>
    <w:p w14:paraId="71BB8DF2">
      <w:pPr>
        <w:pStyle w:val="176"/>
      </w:pPr>
      <w:r>
        <w:rPr>
          <w:rFonts w:hint="eastAsia"/>
        </w:rPr>
        <w:t>单纯转发上级行政规范性文件的文件。</w:t>
      </w:r>
    </w:p>
    <w:p w14:paraId="0A5F749A">
      <w:pPr>
        <w:pStyle w:val="107"/>
        <w:spacing w:before="156" w:after="156"/>
      </w:pPr>
      <w:bookmarkStart w:id="61" w:name="_Toc175908038"/>
      <w:r>
        <w:rPr>
          <w:rFonts w:hint="eastAsia"/>
        </w:rPr>
        <w:t>重大行政决策</w:t>
      </w:r>
      <w:bookmarkEnd w:id="61"/>
    </w:p>
    <w:p w14:paraId="125B0062">
      <w:pPr>
        <w:pStyle w:val="167"/>
      </w:pPr>
      <w:r>
        <w:rPr>
          <w:rFonts w:hint="eastAsia"/>
          <w:lang w:eastAsia="zh-CN"/>
        </w:rPr>
        <w:t>重大行政决策</w:t>
      </w:r>
      <w:r>
        <w:rPr>
          <w:rFonts w:hint="eastAsia"/>
        </w:rPr>
        <w:t>主要包括：</w:t>
      </w:r>
    </w:p>
    <w:p w14:paraId="069D4FAE">
      <w:pPr>
        <w:pStyle w:val="176"/>
        <w:numPr>
          <w:ilvl w:val="0"/>
          <w:numId w:val="32"/>
        </w:numPr>
      </w:pPr>
      <w:r>
        <w:rPr>
          <w:rFonts w:hint="eastAsia"/>
        </w:rPr>
        <w:t>制定有关公共服务、市场监管、社会管理、环境保护等方面的重大公共政策和措施；</w:t>
      </w:r>
    </w:p>
    <w:p w14:paraId="0A6FA6BB">
      <w:pPr>
        <w:pStyle w:val="176"/>
      </w:pPr>
      <w:r>
        <w:rPr>
          <w:rFonts w:hint="eastAsia"/>
        </w:rPr>
        <w:t>制定经济和社会发展等方面的重要规划；</w:t>
      </w:r>
    </w:p>
    <w:p w14:paraId="45022850">
      <w:pPr>
        <w:pStyle w:val="176"/>
      </w:pPr>
      <w:r>
        <w:rPr>
          <w:rFonts w:hint="eastAsia"/>
        </w:rPr>
        <w:t>制定开发利用、保护重要自然资源和文化资源的重大公共政策和措施；</w:t>
      </w:r>
    </w:p>
    <w:p w14:paraId="399F9155">
      <w:pPr>
        <w:pStyle w:val="176"/>
      </w:pPr>
      <w:r>
        <w:rPr>
          <w:rFonts w:hint="eastAsia"/>
        </w:rPr>
        <w:t>决定在本行政区域实施的重大公共建设项目；</w:t>
      </w:r>
    </w:p>
    <w:p w14:paraId="08DE67F0">
      <w:pPr>
        <w:pStyle w:val="176"/>
      </w:pPr>
      <w:r>
        <w:rPr>
          <w:rFonts w:hint="eastAsia"/>
        </w:rPr>
        <w:t>决定其他重大事项。</w:t>
      </w:r>
    </w:p>
    <w:p w14:paraId="2055FFF6">
      <w:pPr>
        <w:pStyle w:val="167"/>
      </w:pPr>
      <w:r>
        <w:rPr>
          <w:rFonts w:hint="eastAsia"/>
        </w:rPr>
        <w:t>以下事项仍应进行重大行政决策合法性审查，主要包括：</w:t>
      </w:r>
    </w:p>
    <w:p w14:paraId="74B1B11B">
      <w:pPr>
        <w:pStyle w:val="176"/>
        <w:numPr>
          <w:ilvl w:val="0"/>
          <w:numId w:val="33"/>
        </w:numPr>
      </w:pPr>
      <w:r>
        <w:rPr>
          <w:rFonts w:hint="eastAsia"/>
        </w:rPr>
        <w:t>符合决策事项标准但未编入目录的重大行政决策事项；</w:t>
      </w:r>
    </w:p>
    <w:p w14:paraId="1F562559">
      <w:pPr>
        <w:pStyle w:val="176"/>
      </w:pPr>
      <w:r>
        <w:rPr>
          <w:rFonts w:hint="eastAsia"/>
        </w:rPr>
        <w:t>以行政规范性文件、行政协议、重大行政执法決定等形式作出的重大行政决策事项。</w:t>
      </w:r>
    </w:p>
    <w:p w14:paraId="5B72F1E3">
      <w:pPr>
        <w:pStyle w:val="107"/>
        <w:spacing w:before="156" w:after="156"/>
      </w:pPr>
      <w:bookmarkStart w:id="62" w:name="_Toc175908039"/>
      <w:r>
        <w:rPr>
          <w:rFonts w:hint="eastAsia"/>
        </w:rPr>
        <w:t>行政协议</w:t>
      </w:r>
      <w:bookmarkEnd w:id="62"/>
    </w:p>
    <w:p w14:paraId="33F5646D">
      <w:pPr>
        <w:pStyle w:val="58"/>
        <w:ind w:firstLine="420"/>
      </w:pPr>
      <w:r>
        <w:rPr>
          <w:rFonts w:hint="eastAsia"/>
          <w:lang w:eastAsia="zh-CN"/>
        </w:rPr>
        <w:t>行政协议</w:t>
      </w:r>
      <w:r>
        <w:rPr>
          <w:rFonts w:hint="eastAsia"/>
        </w:rPr>
        <w:t>主要包括：</w:t>
      </w:r>
    </w:p>
    <w:p w14:paraId="4A194B31">
      <w:pPr>
        <w:pStyle w:val="176"/>
        <w:numPr>
          <w:ilvl w:val="0"/>
          <w:numId w:val="34"/>
        </w:numPr>
      </w:pPr>
      <w:r>
        <w:rPr>
          <w:rFonts w:hint="eastAsia"/>
        </w:rPr>
        <w:t>政府特许经营协议；</w:t>
      </w:r>
    </w:p>
    <w:p w14:paraId="186F0BFE">
      <w:pPr>
        <w:pStyle w:val="176"/>
      </w:pPr>
      <w:r>
        <w:rPr>
          <w:rFonts w:hint="eastAsia"/>
        </w:rPr>
        <w:t>土地、房屋等征收征用补偿协议；</w:t>
      </w:r>
    </w:p>
    <w:p w14:paraId="310E29DB">
      <w:pPr>
        <w:pStyle w:val="176"/>
      </w:pPr>
      <w:r>
        <w:rPr>
          <w:rFonts w:hint="eastAsia"/>
        </w:rPr>
        <w:t>国有自然资源使用权出让协议；</w:t>
      </w:r>
    </w:p>
    <w:p w14:paraId="2466D906">
      <w:pPr>
        <w:pStyle w:val="176"/>
      </w:pPr>
      <w:r>
        <w:rPr>
          <w:rFonts w:hint="eastAsia"/>
        </w:rPr>
        <w:t>政府投资的保障性住房的租赁、买卖等协议；</w:t>
      </w:r>
    </w:p>
    <w:p w14:paraId="0EC96963">
      <w:pPr>
        <w:pStyle w:val="176"/>
      </w:pPr>
      <w:r>
        <w:rPr>
          <w:rFonts w:hint="eastAsia"/>
        </w:rPr>
        <w:t>政府和社会资本合作协议；</w:t>
      </w:r>
    </w:p>
    <w:p w14:paraId="772DC64B">
      <w:pPr>
        <w:pStyle w:val="176"/>
      </w:pPr>
      <w:r>
        <w:rPr>
          <w:rFonts w:hint="eastAsia"/>
        </w:rPr>
        <w:t>其他行政协议。</w:t>
      </w:r>
    </w:p>
    <w:p w14:paraId="60701DAB">
      <w:pPr>
        <w:pStyle w:val="107"/>
        <w:spacing w:before="156" w:after="156"/>
      </w:pPr>
      <w:bookmarkStart w:id="63" w:name="_Toc175908040"/>
      <w:r>
        <w:rPr>
          <w:rFonts w:hint="eastAsia"/>
        </w:rPr>
        <w:t>重大行政执法决定</w:t>
      </w:r>
      <w:bookmarkEnd w:id="63"/>
    </w:p>
    <w:p w14:paraId="50BCCBB2">
      <w:pPr>
        <w:pStyle w:val="58"/>
        <w:ind w:firstLine="420"/>
      </w:pPr>
      <w:r>
        <w:rPr>
          <w:rFonts w:hint="eastAsia"/>
          <w:lang w:eastAsia="zh-CN"/>
        </w:rPr>
        <w:t>重大行政执法决定</w:t>
      </w:r>
      <w:r>
        <w:rPr>
          <w:rFonts w:hint="eastAsia"/>
        </w:rPr>
        <w:t>包括：</w:t>
      </w:r>
    </w:p>
    <w:p w14:paraId="38A4125E">
      <w:pPr>
        <w:pStyle w:val="176"/>
        <w:numPr>
          <w:ilvl w:val="0"/>
          <w:numId w:val="35"/>
        </w:numPr>
      </w:pPr>
      <w:r>
        <w:rPr>
          <w:rFonts w:hint="eastAsia"/>
        </w:rPr>
        <w:t>乡镇对农村村民住宅用地的审核；</w:t>
      </w:r>
    </w:p>
    <w:p w14:paraId="7F4BA920">
      <w:pPr>
        <w:pStyle w:val="176"/>
      </w:pPr>
      <w:r>
        <w:rPr>
          <w:rFonts w:hint="eastAsia"/>
        </w:rPr>
        <w:t>乡镇对末依法取得乡村建设规划许可证或者未按照乡村建设规划许可证的规定进行建设的责令改正；</w:t>
      </w:r>
    </w:p>
    <w:p w14:paraId="002CFD80">
      <w:pPr>
        <w:pStyle w:val="176"/>
      </w:pPr>
      <w:r>
        <w:rPr>
          <w:rFonts w:hint="eastAsia"/>
        </w:rPr>
        <w:t>乡镇对损坏村庄、集镇的房屋、公共设施或乱堆粪便、垃圾、柴草，破坏村容镇貌及环境卫生等的处罚；</w:t>
      </w:r>
    </w:p>
    <w:p w14:paraId="47B438FD">
      <w:pPr>
        <w:pStyle w:val="176"/>
      </w:pPr>
      <w:r>
        <w:rPr>
          <w:rFonts w:hint="eastAsia"/>
        </w:rPr>
        <w:t>乡镇对擅自在村庄、集镇规划区内的街道、广场、市场和车站等场所修建临时建筑物、构筑物或其他设施的处罚；</w:t>
      </w:r>
    </w:p>
    <w:p w14:paraId="676603C2">
      <w:pPr>
        <w:pStyle w:val="176"/>
      </w:pPr>
      <w:r>
        <w:rPr>
          <w:rFonts w:hint="eastAsia"/>
        </w:rPr>
        <w:t>乡镇(街道）对城市、镇规划区内的违法建筑的强制拆除；</w:t>
      </w:r>
    </w:p>
    <w:p w14:paraId="060B4516">
      <w:pPr>
        <w:pStyle w:val="176"/>
      </w:pPr>
      <w:r>
        <w:rPr>
          <w:rFonts w:hint="eastAsia"/>
        </w:rPr>
        <w:t>乡镇对个人之间、个人与单位之间发生的士地使用权、林地使用权、林木所有权属争议的处理；</w:t>
      </w:r>
    </w:p>
    <w:p w14:paraId="5710EC20">
      <w:pPr>
        <w:pStyle w:val="176"/>
      </w:pPr>
      <w:r>
        <w:rPr>
          <w:rFonts w:hint="eastAsia"/>
        </w:rPr>
        <w:t>乡镇对承包期内调整农户之间耕地或林地承包关系的审批；</w:t>
      </w:r>
    </w:p>
    <w:p w14:paraId="4DB0C601">
      <w:pPr>
        <w:pStyle w:val="176"/>
      </w:pPr>
      <w:r>
        <w:rPr>
          <w:rFonts w:hint="eastAsia"/>
        </w:rPr>
        <w:t>乡镇对士地发包给集体经济组织以外的个人或者单位承包行为的批准；</w:t>
      </w:r>
    </w:p>
    <w:p w14:paraId="740CD74B">
      <w:pPr>
        <w:pStyle w:val="176"/>
      </w:pPr>
      <w:r>
        <w:rPr>
          <w:rFonts w:hint="eastAsia"/>
        </w:rPr>
        <w:t>法律、法规规定或省人民政府授权乡镇（街道）承担的其他行政执法事项。</w:t>
      </w:r>
    </w:p>
    <w:p w14:paraId="182E2411">
      <w:pPr>
        <w:pStyle w:val="164"/>
      </w:pPr>
      <w:r>
        <w:rPr>
          <w:rFonts w:hint="eastAsia"/>
        </w:rPr>
        <w:t>合法性审查事项目录清单见附件A。</w:t>
      </w:r>
    </w:p>
    <w:p w14:paraId="41CB893E">
      <w:pPr>
        <w:pStyle w:val="106"/>
        <w:spacing w:before="312" w:after="312"/>
      </w:pPr>
      <w:bookmarkStart w:id="64" w:name="_Toc175910607"/>
      <w:bookmarkStart w:id="65" w:name="_Toc175908041"/>
      <w:bookmarkStart w:id="66" w:name="_Toc175908066"/>
      <w:r>
        <w:rPr>
          <w:rFonts w:hint="eastAsia"/>
        </w:rPr>
        <w:t>审查材料</w:t>
      </w:r>
      <w:bookmarkEnd w:id="64"/>
      <w:bookmarkEnd w:id="65"/>
      <w:bookmarkEnd w:id="66"/>
    </w:p>
    <w:p w14:paraId="24B61F03">
      <w:pPr>
        <w:pStyle w:val="164"/>
      </w:pPr>
      <w:bookmarkStart w:id="67" w:name="_Toc175908042"/>
      <w:r>
        <w:rPr>
          <w:rFonts w:hint="eastAsia"/>
        </w:rPr>
        <w:t>行政规范性文件送审材料包括但不限于：</w:t>
      </w:r>
      <w:bookmarkEnd w:id="67"/>
    </w:p>
    <w:p w14:paraId="0B6D2A3B">
      <w:pPr>
        <w:pStyle w:val="176"/>
        <w:numPr>
          <w:ilvl w:val="0"/>
          <w:numId w:val="36"/>
        </w:numPr>
      </w:pPr>
      <w:r>
        <w:rPr>
          <w:rFonts w:hint="eastAsia"/>
        </w:rPr>
        <w:t>送审函；</w:t>
      </w:r>
    </w:p>
    <w:p w14:paraId="319E5EB4">
      <w:pPr>
        <w:pStyle w:val="176"/>
      </w:pPr>
      <w:r>
        <w:rPr>
          <w:rFonts w:hint="eastAsia"/>
        </w:rPr>
        <w:t>行政规范性文件草案；</w:t>
      </w:r>
    </w:p>
    <w:p w14:paraId="220028CB">
      <w:pPr>
        <w:pStyle w:val="176"/>
      </w:pPr>
      <w:r>
        <w:rPr>
          <w:rFonts w:hint="eastAsia"/>
        </w:rPr>
        <w:t>法律依据材料，包括法律、法规、规章、文件以及相关标准、技术规范；</w:t>
      </w:r>
    </w:p>
    <w:p w14:paraId="43D61A6A">
      <w:pPr>
        <w:pStyle w:val="176"/>
      </w:pPr>
      <w:r>
        <w:rPr>
          <w:rFonts w:hint="eastAsia"/>
        </w:rPr>
        <w:t>行政规范性文件草案的起草说明，内容包括制定文件的必要性和可行性、需要解决的主要问题、拟规定的主要制度和采取的措施、起草经过、有关方面意见的协调处理采纳情况；</w:t>
      </w:r>
    </w:p>
    <w:p w14:paraId="1C0810DC">
      <w:pPr>
        <w:pStyle w:val="176"/>
      </w:pPr>
      <w:r>
        <w:rPr>
          <w:rFonts w:hint="eastAsia"/>
        </w:rPr>
        <w:t>征求意见的相关材料，包括征求有关部门和单位意见、征求社会公众意见、听取企业和行业协会商会意见情况、专家论证、听证、社会稳定风险评估、公平竞争审查等的有关情况，根据事项内容确定；</w:t>
      </w:r>
    </w:p>
    <w:p w14:paraId="63DDA2E0">
      <w:pPr>
        <w:pStyle w:val="176"/>
      </w:pPr>
      <w:r>
        <w:rPr>
          <w:rFonts w:hint="eastAsia"/>
        </w:rPr>
        <w:t>联系人员姓名和联系方式。</w:t>
      </w:r>
    </w:p>
    <w:p w14:paraId="7C4A896B">
      <w:pPr>
        <w:pStyle w:val="164"/>
      </w:pPr>
      <w:bookmarkStart w:id="68" w:name="_Toc175908043"/>
      <w:r>
        <w:rPr>
          <w:rFonts w:hint="eastAsia"/>
        </w:rPr>
        <w:t>重大行政决策审查材料包括但不限于：</w:t>
      </w:r>
      <w:bookmarkEnd w:id="68"/>
    </w:p>
    <w:p w14:paraId="075DF865">
      <w:pPr>
        <w:pStyle w:val="176"/>
        <w:numPr>
          <w:ilvl w:val="0"/>
          <w:numId w:val="37"/>
        </w:numPr>
      </w:pPr>
      <w:r>
        <w:rPr>
          <w:rFonts w:hint="eastAsia"/>
        </w:rPr>
        <w:t>送审函；</w:t>
      </w:r>
    </w:p>
    <w:p w14:paraId="3CAD3F46">
      <w:pPr>
        <w:pStyle w:val="176"/>
      </w:pPr>
      <w:r>
        <w:rPr>
          <w:rFonts w:hint="eastAsia"/>
        </w:rPr>
        <w:t>重大行政决策草案及起草说明；</w:t>
      </w:r>
    </w:p>
    <w:p w14:paraId="7C76A979">
      <w:pPr>
        <w:pStyle w:val="176"/>
      </w:pPr>
      <w:r>
        <w:rPr>
          <w:rFonts w:hint="eastAsia"/>
        </w:rPr>
        <w:t>重大行政决策事项法律依据材料，包括法律、法规、规章、文件以及相关标准、技术规范；</w:t>
      </w:r>
    </w:p>
    <w:p w14:paraId="091BFE38">
      <w:pPr>
        <w:pStyle w:val="176"/>
      </w:pPr>
      <w:r>
        <w:rPr>
          <w:rFonts w:hint="eastAsia"/>
        </w:rPr>
        <w:t>重大行政决策过程中形成的有关材料，包括公平竞争审查、公众参与、听证、专家论证、风险评估、相关部门意见征求及采纳情況等有关材料；</w:t>
      </w:r>
    </w:p>
    <w:p w14:paraId="4A89D6CE">
      <w:pPr>
        <w:pStyle w:val="176"/>
      </w:pPr>
      <w:r>
        <w:rPr>
          <w:rFonts w:hint="eastAsia"/>
        </w:rPr>
        <w:t>联系人员姓名和联系方式。</w:t>
      </w:r>
    </w:p>
    <w:p w14:paraId="2767F596">
      <w:pPr>
        <w:pStyle w:val="164"/>
      </w:pPr>
      <w:bookmarkStart w:id="69" w:name="_Toc175908044"/>
      <w:r>
        <w:rPr>
          <w:rFonts w:hint="eastAsia"/>
        </w:rPr>
        <w:t>行政协议审查材料包括但不限于：</w:t>
      </w:r>
      <w:bookmarkEnd w:id="69"/>
    </w:p>
    <w:p w14:paraId="1FC17766">
      <w:pPr>
        <w:pStyle w:val="176"/>
        <w:numPr>
          <w:ilvl w:val="0"/>
          <w:numId w:val="38"/>
        </w:numPr>
      </w:pPr>
      <w:r>
        <w:rPr>
          <w:rFonts w:hint="eastAsia"/>
        </w:rPr>
        <w:t>送审函；</w:t>
      </w:r>
    </w:p>
    <w:p w14:paraId="5A33D798">
      <w:pPr>
        <w:pStyle w:val="176"/>
      </w:pPr>
      <w:r>
        <w:rPr>
          <w:rFonts w:hint="eastAsia"/>
        </w:rPr>
        <w:t>协议草案；</w:t>
      </w:r>
    </w:p>
    <w:p w14:paraId="73B84A86">
      <w:pPr>
        <w:pStyle w:val="176"/>
      </w:pPr>
      <w:r>
        <w:rPr>
          <w:rFonts w:hint="eastAsia"/>
        </w:rPr>
        <w:t>协议附件；</w:t>
      </w:r>
    </w:p>
    <w:p w14:paraId="158BD4A7">
      <w:pPr>
        <w:pStyle w:val="176"/>
      </w:pPr>
      <w:r>
        <w:rPr>
          <w:rFonts w:hint="eastAsia"/>
        </w:rPr>
        <w:t>协议内容可行性分析及其重要条款说明；</w:t>
      </w:r>
    </w:p>
    <w:p w14:paraId="4D3A3A10">
      <w:pPr>
        <w:pStyle w:val="176"/>
      </w:pPr>
      <w:r>
        <w:rPr>
          <w:rFonts w:hint="eastAsia"/>
        </w:rPr>
        <w:t>与协议有关的材料，包括有关法律法规规章和文件等依据、有关部门和单位意见、对方当事人的资质和履约能力等主体情况、专业机构的咨询意见等；</w:t>
      </w:r>
    </w:p>
    <w:p w14:paraId="39669432">
      <w:pPr>
        <w:pStyle w:val="176"/>
      </w:pPr>
      <w:r>
        <w:rPr>
          <w:rFonts w:hint="eastAsia"/>
        </w:rPr>
        <w:t>联系人员姓名和联系方式。</w:t>
      </w:r>
    </w:p>
    <w:p w14:paraId="674C94F1">
      <w:pPr>
        <w:pStyle w:val="164"/>
      </w:pPr>
      <w:bookmarkStart w:id="70" w:name="_Toc175908045"/>
      <w:r>
        <w:rPr>
          <w:rFonts w:hint="eastAsia"/>
        </w:rPr>
        <w:t>重大行政执法决定审查材料包括但不限于：</w:t>
      </w:r>
      <w:bookmarkEnd w:id="70"/>
    </w:p>
    <w:p w14:paraId="0A0D71A7">
      <w:pPr>
        <w:pStyle w:val="176"/>
        <w:numPr>
          <w:ilvl w:val="0"/>
          <w:numId w:val="39"/>
        </w:numPr>
      </w:pPr>
      <w:r>
        <w:rPr>
          <w:rFonts w:hint="eastAsia"/>
        </w:rPr>
        <w:t>送审函；</w:t>
      </w:r>
    </w:p>
    <w:p w14:paraId="532B7D3A">
      <w:pPr>
        <w:pStyle w:val="176"/>
      </w:pPr>
      <w:r>
        <w:rPr>
          <w:rFonts w:hint="eastAsia"/>
        </w:rPr>
        <w:t>行政执法决定草案；</w:t>
      </w:r>
    </w:p>
    <w:p w14:paraId="62B74609">
      <w:pPr>
        <w:pStyle w:val="176"/>
      </w:pPr>
      <w:r>
        <w:rPr>
          <w:rFonts w:hint="eastAsia"/>
        </w:rPr>
        <w:t>法律依据材料，包括法律、法规、规章、文件以及其他相关标准、技术规范；</w:t>
      </w:r>
    </w:p>
    <w:p w14:paraId="41EAD0FD">
      <w:pPr>
        <w:pStyle w:val="176"/>
      </w:pPr>
      <w:r>
        <w:rPr>
          <w:rFonts w:hint="eastAsia"/>
        </w:rPr>
        <w:t>行政执法过程中接收、采集或者制作的主要证据材料，包括行政执法文书、当事人提交的申请书及相关证明材料、当事人和利害关系人的陈述申辩、听证报告、专家论证报告等程序性材料；</w:t>
      </w:r>
    </w:p>
    <w:p w14:paraId="17C09F2D">
      <w:pPr>
        <w:pStyle w:val="176"/>
      </w:pPr>
      <w:r>
        <w:rPr>
          <w:rFonts w:hint="eastAsia"/>
        </w:rPr>
        <w:t>联系人员姓名和联系方式。</w:t>
      </w:r>
    </w:p>
    <w:p w14:paraId="50388305">
      <w:pPr>
        <w:pStyle w:val="106"/>
        <w:spacing w:before="312" w:after="312"/>
      </w:pPr>
      <w:bookmarkStart w:id="71" w:name="_Toc175908067"/>
      <w:bookmarkStart w:id="72" w:name="_Toc175910608"/>
      <w:bookmarkStart w:id="73" w:name="_Toc175908046"/>
      <w:r>
        <w:rPr>
          <w:rFonts w:hint="eastAsia"/>
        </w:rPr>
        <w:t>合法性审查需考虑的因素</w:t>
      </w:r>
      <w:bookmarkEnd w:id="71"/>
      <w:bookmarkEnd w:id="72"/>
      <w:bookmarkEnd w:id="73"/>
    </w:p>
    <w:p w14:paraId="4BAF9DF0">
      <w:pPr>
        <w:pStyle w:val="107"/>
        <w:spacing w:before="156" w:after="156"/>
      </w:pPr>
      <w:bookmarkStart w:id="74" w:name="_Toc175908047"/>
      <w:r>
        <w:rPr>
          <w:rFonts w:hint="eastAsia"/>
        </w:rPr>
        <w:t>行政规范性文件</w:t>
      </w:r>
      <w:bookmarkEnd w:id="74"/>
    </w:p>
    <w:p w14:paraId="278879B1">
      <w:pPr>
        <w:pStyle w:val="167"/>
      </w:pPr>
      <w:r>
        <w:rPr>
          <w:rFonts w:hint="eastAsia"/>
        </w:rPr>
        <w:t>行政规范性文件的合法审查需考虑的因素包含：</w:t>
      </w:r>
    </w:p>
    <w:p w14:paraId="4F67D614">
      <w:pPr>
        <w:pStyle w:val="176"/>
        <w:numPr>
          <w:ilvl w:val="0"/>
          <w:numId w:val="40"/>
        </w:numPr>
      </w:pPr>
      <w:r>
        <w:rPr>
          <w:rFonts w:hint="eastAsia"/>
        </w:rPr>
        <w:t>文件制定主体有相应的权限；</w:t>
      </w:r>
    </w:p>
    <w:p w14:paraId="1B9C3F4B">
      <w:pPr>
        <w:pStyle w:val="176"/>
      </w:pPr>
      <w:r>
        <w:rPr>
          <w:rFonts w:hint="eastAsia"/>
        </w:rPr>
        <w:t>文件制定程序符合要求；</w:t>
      </w:r>
    </w:p>
    <w:p w14:paraId="615304B7">
      <w:pPr>
        <w:pStyle w:val="176"/>
      </w:pPr>
      <w:r>
        <w:rPr>
          <w:rFonts w:hint="eastAsia"/>
        </w:rPr>
        <w:t>文件没有涉及法律专属事项；</w:t>
      </w:r>
    </w:p>
    <w:p w14:paraId="50AD5E25">
      <w:pPr>
        <w:pStyle w:val="176"/>
      </w:pPr>
      <w:r>
        <w:rPr>
          <w:rFonts w:hint="eastAsia"/>
        </w:rPr>
        <w:t>文件没有无依据而减损公民、法人或者其他组织权利、增加其义务的规定；</w:t>
      </w:r>
    </w:p>
    <w:p w14:paraId="74A707E7">
      <w:pPr>
        <w:pStyle w:val="176"/>
      </w:pPr>
      <w:r>
        <w:rPr>
          <w:rFonts w:hint="eastAsia"/>
        </w:rPr>
        <w:t>文件没有违规设置行政许可；</w:t>
      </w:r>
    </w:p>
    <w:p w14:paraId="26C0AF9F">
      <w:pPr>
        <w:pStyle w:val="176"/>
      </w:pPr>
      <w:r>
        <w:rPr>
          <w:rFonts w:hint="eastAsia"/>
        </w:rPr>
        <w:t>文件没有违规设置行政处罚；</w:t>
      </w:r>
    </w:p>
    <w:p w14:paraId="4176E8AE">
      <w:pPr>
        <w:pStyle w:val="176"/>
      </w:pPr>
      <w:r>
        <w:rPr>
          <w:rFonts w:hint="eastAsia"/>
        </w:rPr>
        <w:t>文件没有违规设置行政强制；</w:t>
      </w:r>
    </w:p>
    <w:p w14:paraId="04DD3C04">
      <w:pPr>
        <w:pStyle w:val="176"/>
      </w:pPr>
      <w:r>
        <w:rPr>
          <w:rFonts w:hint="eastAsia"/>
        </w:rPr>
        <w:t>文件没有违规设置行政事业性收费：</w:t>
      </w:r>
    </w:p>
    <w:p w14:paraId="2CD9D5CF">
      <w:pPr>
        <w:pStyle w:val="176"/>
      </w:pPr>
      <w:r>
        <w:rPr>
          <w:rFonts w:hint="eastAsia"/>
        </w:rPr>
        <w:t>文件没有违规设置</w:t>
      </w:r>
      <w:r>
        <w:rPr>
          <w:rFonts w:hint="eastAsia"/>
          <w:lang w:eastAsia="zh-CN"/>
        </w:rPr>
        <w:t>证</w:t>
      </w:r>
      <w:r>
        <w:rPr>
          <w:rFonts w:hint="eastAsia"/>
        </w:rPr>
        <w:t>明；</w:t>
      </w:r>
    </w:p>
    <w:p w14:paraId="18E446E6">
      <w:pPr>
        <w:pStyle w:val="176"/>
      </w:pPr>
      <w:r>
        <w:rPr>
          <w:rFonts w:hint="eastAsia"/>
        </w:rPr>
        <w:t>文件没有违规设置不公平竞争措施；</w:t>
      </w:r>
    </w:p>
    <w:p w14:paraId="26E417C8">
      <w:pPr>
        <w:pStyle w:val="176"/>
      </w:pPr>
      <w:r>
        <w:rPr>
          <w:rFonts w:hint="eastAsia"/>
        </w:rPr>
        <w:t>文件没有违规设置评比、达标、表彰措施；</w:t>
      </w:r>
    </w:p>
    <w:p w14:paraId="66F59A02">
      <w:pPr>
        <w:pStyle w:val="176"/>
      </w:pPr>
      <w:r>
        <w:rPr>
          <w:rFonts w:hint="eastAsia"/>
        </w:rPr>
        <w:t>文件没有违规设置考试、培训、资格、资质；</w:t>
      </w:r>
    </w:p>
    <w:p w14:paraId="48360E15">
      <w:pPr>
        <w:pStyle w:val="176"/>
      </w:pPr>
      <w:r>
        <w:rPr>
          <w:rFonts w:hint="eastAsia"/>
        </w:rPr>
        <w:t>文件没有违规设置限制民营企业发展的措施；</w:t>
      </w:r>
    </w:p>
    <w:p w14:paraId="234795DC">
      <w:pPr>
        <w:pStyle w:val="176"/>
      </w:pPr>
      <w:r>
        <w:rPr>
          <w:rFonts w:hint="eastAsia"/>
        </w:rPr>
        <w:t>文件没有违规设定企业登记事项；</w:t>
      </w:r>
    </w:p>
    <w:p w14:paraId="4EBF88C4">
      <w:pPr>
        <w:pStyle w:val="176"/>
      </w:pPr>
      <w:r>
        <w:rPr>
          <w:rFonts w:hint="eastAsia"/>
        </w:rPr>
        <w:t>文件没有违规设置影响企业自主经营的规定；</w:t>
      </w:r>
    </w:p>
    <w:p w14:paraId="7B73A4EF">
      <w:pPr>
        <w:pStyle w:val="176"/>
      </w:pPr>
      <w:r>
        <w:rPr>
          <w:rFonts w:hint="eastAsia"/>
        </w:rPr>
        <w:t>文件没有违规设置公共信用信息管理的规定；</w:t>
      </w:r>
    </w:p>
    <w:p w14:paraId="41B7BE74">
      <w:pPr>
        <w:pStyle w:val="176"/>
      </w:pPr>
      <w:r>
        <w:rPr>
          <w:rFonts w:hint="eastAsia"/>
        </w:rPr>
        <w:t>文件没有违规设置与上位法或上位文件不一致的管理措施。</w:t>
      </w:r>
    </w:p>
    <w:p w14:paraId="3EAE3FAD">
      <w:pPr>
        <w:pStyle w:val="167"/>
      </w:pPr>
      <w:r>
        <w:rPr>
          <w:rFonts w:hint="eastAsia"/>
        </w:rPr>
        <w:t>行政规范性文件的合理性方面应满足以下要求：</w:t>
      </w:r>
    </w:p>
    <w:p w14:paraId="2E710864">
      <w:pPr>
        <w:pStyle w:val="176"/>
        <w:numPr>
          <w:ilvl w:val="0"/>
          <w:numId w:val="41"/>
        </w:numPr>
      </w:pPr>
      <w:r>
        <w:rPr>
          <w:rFonts w:hint="eastAsia"/>
        </w:rPr>
        <w:t>文件符合国家改革和形势发展需要；</w:t>
      </w:r>
    </w:p>
    <w:p w14:paraId="30C1B760">
      <w:pPr>
        <w:pStyle w:val="176"/>
      </w:pPr>
      <w:r>
        <w:rPr>
          <w:rFonts w:hint="eastAsia"/>
        </w:rPr>
        <w:t>文件的实施不会在社会上造成重大负面影响和重大风险；</w:t>
      </w:r>
    </w:p>
    <w:p w14:paraId="46CF334A">
      <w:pPr>
        <w:pStyle w:val="176"/>
      </w:pPr>
      <w:r>
        <w:rPr>
          <w:rFonts w:hint="eastAsia"/>
        </w:rPr>
        <w:t>不违反公平公正原则。</w:t>
      </w:r>
    </w:p>
    <w:p w14:paraId="424C6A4D">
      <w:pPr>
        <w:pStyle w:val="167"/>
      </w:pPr>
      <w:r>
        <w:rPr>
          <w:rFonts w:hint="eastAsia"/>
        </w:rPr>
        <w:t>行政规范性文件的规范性方面应满足以下要求：</w:t>
      </w:r>
    </w:p>
    <w:p w14:paraId="0FA8155C">
      <w:pPr>
        <w:pStyle w:val="176"/>
        <w:numPr>
          <w:ilvl w:val="0"/>
          <w:numId w:val="42"/>
        </w:numPr>
      </w:pPr>
      <w:r>
        <w:rPr>
          <w:rFonts w:hint="eastAsia"/>
        </w:rPr>
        <w:t>名称使用恰当；</w:t>
      </w:r>
    </w:p>
    <w:p w14:paraId="44B363D6">
      <w:pPr>
        <w:pStyle w:val="176"/>
      </w:pPr>
      <w:r>
        <w:rPr>
          <w:rFonts w:hint="eastAsia"/>
        </w:rPr>
        <w:t>体例格式规范；</w:t>
      </w:r>
    </w:p>
    <w:p w14:paraId="1E93DE77">
      <w:pPr>
        <w:pStyle w:val="176"/>
      </w:pPr>
      <w:r>
        <w:rPr>
          <w:rFonts w:hint="eastAsia"/>
        </w:rPr>
        <w:t>文字表述准确。</w:t>
      </w:r>
    </w:p>
    <w:p w14:paraId="49BCFF25">
      <w:pPr>
        <w:pStyle w:val="167"/>
      </w:pPr>
      <w:bookmarkStart w:id="75" w:name="_Toc175908048"/>
      <w:r>
        <w:rPr>
          <w:rFonts w:hint="eastAsia"/>
        </w:rPr>
        <w:t>重大行政决策应满足以下要求</w:t>
      </w:r>
      <w:bookmarkEnd w:id="75"/>
      <w:r>
        <w:rPr>
          <w:rFonts w:hint="eastAsia"/>
        </w:rPr>
        <w:t>：</w:t>
      </w:r>
    </w:p>
    <w:p w14:paraId="4BCBB6C9">
      <w:pPr>
        <w:pStyle w:val="176"/>
        <w:numPr>
          <w:ilvl w:val="0"/>
          <w:numId w:val="43"/>
        </w:numPr>
      </w:pPr>
      <w:r>
        <w:rPr>
          <w:rFonts w:hint="eastAsia"/>
        </w:rPr>
        <w:t>决策事项符合乡镇（街道）法定权限；</w:t>
      </w:r>
    </w:p>
    <w:p w14:paraId="582BC552">
      <w:pPr>
        <w:pStyle w:val="176"/>
      </w:pPr>
      <w:r>
        <w:rPr>
          <w:rFonts w:hint="eastAsia"/>
        </w:rPr>
        <w:t>决策草案的形成履行相关法定程序；</w:t>
      </w:r>
    </w:p>
    <w:p w14:paraId="681BAF20">
      <w:pPr>
        <w:pStyle w:val="176"/>
      </w:pPr>
      <w:r>
        <w:rPr>
          <w:rFonts w:hint="eastAsia"/>
        </w:rPr>
        <w:t>决策草案内容符合有关法律、法规、规章和国家政策的规定。</w:t>
      </w:r>
    </w:p>
    <w:p w14:paraId="15E7450C">
      <w:pPr>
        <w:pStyle w:val="167"/>
      </w:pPr>
      <w:bookmarkStart w:id="76" w:name="_Toc175908049"/>
      <w:r>
        <w:rPr>
          <w:rFonts w:hint="eastAsia"/>
        </w:rPr>
        <w:t>行政协议应满足以下要求</w:t>
      </w:r>
      <w:bookmarkEnd w:id="76"/>
      <w:r>
        <w:rPr>
          <w:rFonts w:hint="eastAsia"/>
        </w:rPr>
        <w:t>：</w:t>
      </w:r>
    </w:p>
    <w:p w14:paraId="5D46A7B4">
      <w:pPr>
        <w:pStyle w:val="176"/>
        <w:numPr>
          <w:ilvl w:val="0"/>
          <w:numId w:val="44"/>
        </w:numPr>
      </w:pPr>
      <w:r>
        <w:rPr>
          <w:rFonts w:hint="eastAsia"/>
        </w:rPr>
        <w:t>协议主体具备主体资格；</w:t>
      </w:r>
    </w:p>
    <w:p w14:paraId="6D905974">
      <w:pPr>
        <w:pStyle w:val="176"/>
      </w:pPr>
      <w:r>
        <w:rPr>
          <w:rFonts w:hint="eastAsia"/>
          <w:lang w:eastAsia="zh-CN"/>
        </w:rPr>
        <w:t>协议</w:t>
      </w:r>
      <w:r>
        <w:rPr>
          <w:rFonts w:hint="eastAsia"/>
        </w:rPr>
        <w:t>标的不违反法律规定；</w:t>
      </w:r>
    </w:p>
    <w:p w14:paraId="74D794D8">
      <w:pPr>
        <w:pStyle w:val="176"/>
      </w:pPr>
      <w:r>
        <w:rPr>
          <w:rFonts w:hint="eastAsia"/>
        </w:rPr>
        <w:t>数量条款明确具体无歧义；</w:t>
      </w:r>
    </w:p>
    <w:p w14:paraId="3A567B9E">
      <w:pPr>
        <w:pStyle w:val="176"/>
      </w:pPr>
      <w:r>
        <w:rPr>
          <w:rFonts w:hint="eastAsia"/>
        </w:rPr>
        <w:t>质量要求明确，不低于强制性标准；</w:t>
      </w:r>
    </w:p>
    <w:p w14:paraId="3B9878F9">
      <w:pPr>
        <w:pStyle w:val="176"/>
      </w:pPr>
      <w:r>
        <w:rPr>
          <w:rFonts w:hint="eastAsia"/>
        </w:rPr>
        <w:t>价款与报酬符合预算管理、价格管理、税费管理等相关规定，支付方式及期限明确具体；</w:t>
      </w:r>
    </w:p>
    <w:p w14:paraId="4B3FEA35">
      <w:pPr>
        <w:pStyle w:val="176"/>
      </w:pPr>
      <w:r>
        <w:rPr>
          <w:rFonts w:hint="eastAsia"/>
        </w:rPr>
        <w:t>履行期限明确具体；</w:t>
      </w:r>
    </w:p>
    <w:p w14:paraId="49757C3C">
      <w:pPr>
        <w:pStyle w:val="176"/>
      </w:pPr>
      <w:r>
        <w:rPr>
          <w:rFonts w:hint="eastAsia"/>
        </w:rPr>
        <w:t>保密条款、信息公开条款符合国家法律法规规定；</w:t>
      </w:r>
    </w:p>
    <w:p w14:paraId="2A26E89F">
      <w:pPr>
        <w:pStyle w:val="176"/>
      </w:pPr>
      <w:r>
        <w:rPr>
          <w:rFonts w:hint="eastAsia"/>
        </w:rPr>
        <w:t>知识产权条款符合国家法律法规规定；</w:t>
      </w:r>
    </w:p>
    <w:p w14:paraId="59C679C4">
      <w:pPr>
        <w:pStyle w:val="176"/>
      </w:pPr>
      <w:r>
        <w:rPr>
          <w:rFonts w:hint="eastAsia"/>
        </w:rPr>
        <w:t>违约责任条款明确具体公平，具有可执行性；</w:t>
      </w:r>
    </w:p>
    <w:p w14:paraId="6C649D62">
      <w:pPr>
        <w:pStyle w:val="176"/>
      </w:pPr>
      <w:r>
        <w:rPr>
          <w:rFonts w:hint="eastAsia"/>
        </w:rPr>
        <w:t>合同解除条件清晰明确并符合国家法律法规规定；</w:t>
      </w:r>
    </w:p>
    <w:p w14:paraId="2173CD58">
      <w:pPr>
        <w:pStyle w:val="176"/>
      </w:pPr>
      <w:r>
        <w:rPr>
          <w:rFonts w:hint="eastAsia"/>
        </w:rPr>
        <w:t>合同争议解决条款不违反法律法规规定；</w:t>
      </w:r>
    </w:p>
    <w:p w14:paraId="6710B07A">
      <w:pPr>
        <w:pStyle w:val="176"/>
      </w:pPr>
      <w:r>
        <w:rPr>
          <w:rFonts w:hint="eastAsia"/>
        </w:rPr>
        <w:t>合同签订符合相关程序规定</w:t>
      </w:r>
      <w:r>
        <w:rPr>
          <w:rFonts w:hint="eastAsia"/>
          <w:lang w:eastAsia="zh-CN"/>
        </w:rPr>
        <w:t>且</w:t>
      </w:r>
      <w:r>
        <w:rPr>
          <w:rFonts w:hint="eastAsia"/>
        </w:rPr>
        <w:t>合同法律术语、技术术语符合法律规范和技术规范</w:t>
      </w:r>
      <w:r>
        <w:rPr>
          <w:rFonts w:hint="eastAsia"/>
          <w:lang w:eastAsia="zh-CN"/>
        </w:rPr>
        <w:t>，</w:t>
      </w:r>
      <w:r>
        <w:rPr>
          <w:rFonts w:hint="eastAsia"/>
        </w:rPr>
        <w:t>合同用词明确具体无歧义。</w:t>
      </w:r>
    </w:p>
    <w:p w14:paraId="129E8C46">
      <w:pPr>
        <w:pStyle w:val="107"/>
        <w:spacing w:before="156" w:after="156"/>
        <w:rPr>
          <w:rFonts w:hint="eastAsia"/>
        </w:rPr>
      </w:pPr>
      <w:bookmarkStart w:id="77" w:name="_Toc175908050"/>
      <w:r>
        <w:rPr>
          <w:rFonts w:hint="eastAsia"/>
        </w:rPr>
        <w:t>重大行政执法决定</w:t>
      </w:r>
      <w:bookmarkEnd w:id="77"/>
    </w:p>
    <w:p w14:paraId="5B2B2517">
      <w:pPr>
        <w:pStyle w:val="58"/>
        <w:ind w:firstLine="420"/>
      </w:pPr>
      <w:r>
        <w:rPr>
          <w:rFonts w:hint="eastAsia"/>
        </w:rPr>
        <w:t>重大行政执法决定应满足以下要求：</w:t>
      </w:r>
    </w:p>
    <w:p w14:paraId="7D9D2D88">
      <w:pPr>
        <w:pStyle w:val="176"/>
        <w:numPr>
          <w:ilvl w:val="0"/>
          <w:numId w:val="45"/>
        </w:numPr>
      </w:pPr>
      <w:r>
        <w:rPr>
          <w:rFonts w:hint="eastAsia"/>
        </w:rPr>
        <w:t>行政执法主体具有相应的执法权限：</w:t>
      </w:r>
    </w:p>
    <w:p w14:paraId="1C713740">
      <w:pPr>
        <w:pStyle w:val="176"/>
      </w:pPr>
      <w:r>
        <w:rPr>
          <w:rFonts w:hint="eastAsia"/>
        </w:rPr>
        <w:t>行政执法决定事实清楚、证据确凿；</w:t>
      </w:r>
    </w:p>
    <w:p w14:paraId="1646F9D3">
      <w:pPr>
        <w:pStyle w:val="176"/>
      </w:pPr>
      <w:r>
        <w:rPr>
          <w:rFonts w:hint="eastAsia"/>
        </w:rPr>
        <w:t>行政执法决定适用法律依据准确；</w:t>
      </w:r>
    </w:p>
    <w:p w14:paraId="6B24D203">
      <w:pPr>
        <w:pStyle w:val="176"/>
      </w:pPr>
      <w:r>
        <w:rPr>
          <w:rFonts w:hint="eastAsia"/>
        </w:rPr>
        <w:t>行政执法决定裁量权行使适当；</w:t>
      </w:r>
    </w:p>
    <w:p w14:paraId="4224DCB1">
      <w:pPr>
        <w:pStyle w:val="176"/>
      </w:pPr>
      <w:r>
        <w:rPr>
          <w:rFonts w:hint="eastAsia"/>
        </w:rPr>
        <w:t>行政执法决定程序合法。</w:t>
      </w:r>
    </w:p>
    <w:p w14:paraId="36D27146">
      <w:pPr>
        <w:pStyle w:val="106"/>
        <w:spacing w:before="312" w:after="312"/>
      </w:pPr>
      <w:bookmarkStart w:id="78" w:name="_Toc175910609"/>
      <w:bookmarkStart w:id="79" w:name="_Toc175908068"/>
      <w:bookmarkStart w:id="80" w:name="_Toc175908051"/>
      <w:r>
        <w:rPr>
          <w:rFonts w:hint="eastAsia"/>
        </w:rPr>
        <w:t>审查机构及人员</w:t>
      </w:r>
      <w:bookmarkEnd w:id="78"/>
      <w:bookmarkEnd w:id="79"/>
      <w:bookmarkEnd w:id="80"/>
    </w:p>
    <w:p w14:paraId="12B3B220">
      <w:pPr>
        <w:pStyle w:val="164"/>
      </w:pPr>
      <w:r>
        <w:rPr>
          <w:rFonts w:hint="eastAsia"/>
          <w:lang w:eastAsia="zh-CN"/>
        </w:rPr>
        <w:t>已获授权的</w:t>
      </w:r>
      <w:r>
        <w:rPr>
          <w:rFonts w:hint="eastAsia"/>
        </w:rPr>
        <w:t>基层司法所承担合法性审查主要职责。</w:t>
      </w:r>
    </w:p>
    <w:p w14:paraId="3C1687CE">
      <w:pPr>
        <w:pStyle w:val="164"/>
      </w:pPr>
      <w:r>
        <w:rPr>
          <w:rFonts w:hint="eastAsia"/>
        </w:rPr>
        <w:t>审查机构工作人员以通过司法考试的司法所工作人员、公职律师等为主体，法律顾问、政府购买法律服务及其相关专业人员协同参与。</w:t>
      </w:r>
    </w:p>
    <w:p w14:paraId="1435049A">
      <w:pPr>
        <w:pStyle w:val="164"/>
      </w:pPr>
      <w:r>
        <w:rPr>
          <w:rFonts w:hint="eastAsia"/>
        </w:rPr>
        <w:t>乡镇（街道）至少明确1人承担合法性审查工作。</w:t>
      </w:r>
    </w:p>
    <w:p w14:paraId="65F9DF7D">
      <w:pPr>
        <w:pStyle w:val="164"/>
      </w:pPr>
      <w:r>
        <w:rPr>
          <w:rFonts w:hint="eastAsia"/>
          <w:lang w:val="en-US" w:eastAsia="zh-CN"/>
        </w:rPr>
        <w:t>在审查过程中审查机构及人员要注意对材料的保密，对于</w:t>
      </w:r>
      <w:r>
        <w:rPr>
          <w:lang w:val="en-US" w:eastAsia="zh-CN"/>
        </w:rPr>
        <w:t>可能影响公正审查情形的，不得参与相关审查工作，</w:t>
      </w:r>
      <w:r>
        <w:rPr>
          <w:rFonts w:hint="eastAsia"/>
          <w:lang w:val="en-US" w:eastAsia="zh-CN"/>
        </w:rPr>
        <w:t>落实好相应</w:t>
      </w:r>
      <w:r>
        <w:rPr>
          <w:lang w:val="en-US" w:eastAsia="zh-CN"/>
        </w:rPr>
        <w:t>回避制度。</w:t>
      </w:r>
    </w:p>
    <w:p w14:paraId="2BC3E11A">
      <w:pPr>
        <w:pStyle w:val="106"/>
        <w:spacing w:before="312" w:after="312"/>
      </w:pPr>
      <w:bookmarkStart w:id="81" w:name="_Toc175910610"/>
      <w:bookmarkStart w:id="82" w:name="_Toc175908069"/>
      <w:bookmarkStart w:id="83" w:name="_Toc175908052"/>
      <w:r>
        <w:rPr>
          <w:rFonts w:hint="eastAsia"/>
        </w:rPr>
        <w:t>审查方式</w:t>
      </w:r>
      <w:bookmarkEnd w:id="81"/>
      <w:bookmarkEnd w:id="82"/>
      <w:bookmarkEnd w:id="83"/>
    </w:p>
    <w:p w14:paraId="36919874">
      <w:pPr>
        <w:pStyle w:val="164"/>
      </w:pPr>
      <w:r>
        <w:rPr>
          <w:rFonts w:hint="eastAsia"/>
        </w:rPr>
        <w:t>可采取书面审查、实地调查、召开座谈论证会，以及委托其他人员或机构研究论证等方式，开展合法性审查，提供专业意见。</w:t>
      </w:r>
    </w:p>
    <w:p w14:paraId="2B693B02">
      <w:pPr>
        <w:pStyle w:val="164"/>
      </w:pPr>
      <w:r>
        <w:rPr>
          <w:rFonts w:hint="eastAsia"/>
        </w:rPr>
        <w:t>审查过程中，司法所可根据需要采取下列措施，主要包含：</w:t>
      </w:r>
    </w:p>
    <w:p w14:paraId="395A2B2A">
      <w:pPr>
        <w:pStyle w:val="176"/>
        <w:numPr>
          <w:ilvl w:val="0"/>
          <w:numId w:val="46"/>
        </w:numPr>
      </w:pPr>
      <w:r>
        <w:rPr>
          <w:rFonts w:hint="eastAsia"/>
        </w:rPr>
        <w:t>要求承办机构、其他有关单位或者个人在规定期限内就被审查事项作出解释、说明；</w:t>
      </w:r>
    </w:p>
    <w:p w14:paraId="3B761097">
      <w:pPr>
        <w:pStyle w:val="176"/>
      </w:pPr>
      <w:r>
        <w:rPr>
          <w:rFonts w:hint="eastAsia"/>
        </w:rPr>
        <w:t>调取或者复制与被市查事项有关的材料；</w:t>
      </w:r>
    </w:p>
    <w:p w14:paraId="1CDA00E8">
      <w:pPr>
        <w:pStyle w:val="176"/>
      </w:pPr>
      <w:r>
        <w:rPr>
          <w:rFonts w:hint="eastAsia"/>
        </w:rPr>
        <w:t>涉及较强专业性、技术性或者疑难、复杂的问题时，可组织有关专家参与审查、论证或提出意见。</w:t>
      </w:r>
    </w:p>
    <w:p w14:paraId="3D90ED69">
      <w:pPr>
        <w:pStyle w:val="106"/>
        <w:spacing w:before="312" w:after="312"/>
      </w:pPr>
      <w:bookmarkStart w:id="84" w:name="_Toc175908053"/>
      <w:bookmarkStart w:id="85" w:name="_Toc175908070"/>
      <w:bookmarkStart w:id="86" w:name="_Toc175910611"/>
      <w:r>
        <w:rPr>
          <w:rFonts w:hint="eastAsia"/>
        </w:rPr>
        <w:t>审查程序</w:t>
      </w:r>
      <w:bookmarkEnd w:id="84"/>
      <w:bookmarkEnd w:id="85"/>
      <w:bookmarkEnd w:id="86"/>
    </w:p>
    <w:p w14:paraId="529CB335">
      <w:pPr>
        <w:pStyle w:val="107"/>
        <w:spacing w:before="156" w:after="156"/>
      </w:pPr>
      <w:bookmarkStart w:id="87" w:name="_Toc175908054"/>
      <w:r>
        <w:rPr>
          <w:rFonts w:hint="eastAsia"/>
        </w:rPr>
        <w:t>审查流程</w:t>
      </w:r>
      <w:bookmarkEnd w:id="87"/>
    </w:p>
    <w:p w14:paraId="04F5CF2F">
      <w:pPr>
        <w:pStyle w:val="167"/>
      </w:pPr>
      <w:r>
        <w:rPr>
          <w:rFonts w:hint="eastAsia"/>
        </w:rPr>
        <w:t>合法性审查由承办机构向司法所提起，或者司法所按照镇（街道）负责人批办要求直接启动程序。在提起合法性审查之前，承办机构应当对其合法性、必要性和可行性等进行研究，对应当合法性审查的</w:t>
      </w:r>
      <w:r>
        <w:rPr>
          <w:rFonts w:hint="eastAsia"/>
          <w:lang w:eastAsia="zh-CN"/>
        </w:rPr>
        <w:t>审查事项</w:t>
      </w:r>
      <w:r>
        <w:rPr>
          <w:rFonts w:hint="eastAsia"/>
        </w:rPr>
        <w:t>进行研究论证，形成相关送审稿或决定。</w:t>
      </w:r>
    </w:p>
    <w:p w14:paraId="3AF5B1C0">
      <w:pPr>
        <w:pStyle w:val="167"/>
      </w:pPr>
      <w:r>
        <w:rPr>
          <w:rFonts w:hint="eastAsia"/>
        </w:rPr>
        <w:t>司法所应当在2个工作日内对送审材料进行初审，送审材料不齐全可能影响审查的，审查人员应当一次性告知承办部门在指定期限内补齐相关材料。</w:t>
      </w:r>
    </w:p>
    <w:p w14:paraId="29D5A88E">
      <w:pPr>
        <w:pStyle w:val="167"/>
      </w:pPr>
      <w:r>
        <w:rPr>
          <w:rFonts w:hint="eastAsia"/>
        </w:rPr>
        <w:t>司法所在收到合法性审查申请后，除法定情形外，一般审查时间不少于3个工作日，最长不超过</w:t>
      </w:r>
      <w:r>
        <w:rPr>
          <w:rFonts w:hint="eastAsia"/>
          <w:lang w:val="en-US" w:eastAsia="zh-CN"/>
        </w:rPr>
        <w:t>7</w:t>
      </w:r>
      <w:r>
        <w:rPr>
          <w:rFonts w:hint="eastAsia"/>
        </w:rPr>
        <w:t>个工作日。审查人员完成合法性审查的，拟制书面审查意见报送司法所负责人，在</w:t>
      </w:r>
      <w:r>
        <w:rPr>
          <w:rFonts w:hint="eastAsia"/>
          <w:lang w:val="en-US" w:eastAsia="zh-CN"/>
        </w:rPr>
        <w:t>7</w:t>
      </w:r>
      <w:r>
        <w:rPr>
          <w:rFonts w:hint="eastAsia"/>
        </w:rPr>
        <w:t>个工作日内完成复审、批准，连同全部送审材料送转</w:t>
      </w:r>
      <w:r>
        <w:rPr>
          <w:rFonts w:hint="eastAsia"/>
          <w:lang w:eastAsia="zh-CN"/>
        </w:rPr>
        <w:t>送审部门</w:t>
      </w:r>
      <w:r>
        <w:rPr>
          <w:rFonts w:hint="eastAsia"/>
        </w:rPr>
        <w:t>。</w:t>
      </w:r>
    </w:p>
    <w:p w14:paraId="2393B6C9">
      <w:pPr>
        <w:pStyle w:val="107"/>
        <w:spacing w:before="156" w:after="156"/>
      </w:pPr>
      <w:bookmarkStart w:id="88" w:name="_Toc175908055"/>
      <w:r>
        <w:rPr>
          <w:rFonts w:hint="eastAsia"/>
        </w:rPr>
        <w:t>意见出具</w:t>
      </w:r>
      <w:bookmarkEnd w:id="88"/>
    </w:p>
    <w:p w14:paraId="0A26FDDA">
      <w:pPr>
        <w:pStyle w:val="167"/>
      </w:pPr>
      <w:r>
        <w:rPr>
          <w:rFonts w:hint="eastAsia"/>
        </w:rPr>
        <w:t>司法所根据下列情形出具审查意见，主要包含：</w:t>
      </w:r>
    </w:p>
    <w:p w14:paraId="62190F59">
      <w:pPr>
        <w:pStyle w:val="176"/>
        <w:numPr>
          <w:ilvl w:val="0"/>
          <w:numId w:val="47"/>
        </w:numPr>
      </w:pPr>
      <w:r>
        <w:rPr>
          <w:rFonts w:hint="eastAsia"/>
        </w:rPr>
        <w:t>符合法律、法规、规章等合法性审查依据规定，且与国家政策或者改革方向一致的事项，</w:t>
      </w:r>
      <w:r>
        <w:rPr>
          <w:rFonts w:hint="eastAsia"/>
          <w:lang w:eastAsia="zh-CN"/>
        </w:rPr>
        <w:t>可</w:t>
      </w:r>
      <w:r>
        <w:rPr>
          <w:rFonts w:hint="eastAsia"/>
        </w:rPr>
        <w:t>通过审查；</w:t>
      </w:r>
    </w:p>
    <w:p w14:paraId="30FDC666">
      <w:pPr>
        <w:pStyle w:val="176"/>
      </w:pPr>
      <w:r>
        <w:rPr>
          <w:rFonts w:hint="eastAsia"/>
        </w:rPr>
        <w:t>属于国家法律、法规、规章尚无明确规定的探索性改革决策事项，但符合国家政策或者改革方向的，可通过审查，同时提示相关法律风险；</w:t>
      </w:r>
    </w:p>
    <w:p w14:paraId="21C477FA">
      <w:pPr>
        <w:pStyle w:val="176"/>
      </w:pPr>
      <w:r>
        <w:rPr>
          <w:rFonts w:hint="eastAsia"/>
        </w:rPr>
        <w:t>形式不规范或制定程序不合法但可以补正的事项，原则上宜通过审查，但应要求承办机构先行补正，再提请乡镇（街道） 审议或決定；</w:t>
      </w:r>
    </w:p>
    <w:p w14:paraId="261FDF0D">
      <w:pPr>
        <w:pStyle w:val="176"/>
      </w:pPr>
      <w:r>
        <w:rPr>
          <w:rFonts w:hint="eastAsia"/>
        </w:rPr>
        <w:t>内容不符合法律、法规、规章规定的事项，应不予通过审查，同时说明存在的问题和依据。</w:t>
      </w:r>
    </w:p>
    <w:p w14:paraId="78BE63D3">
      <w:pPr>
        <w:pStyle w:val="176"/>
      </w:pPr>
      <w:r>
        <w:rPr>
          <w:rFonts w:hint="eastAsia"/>
        </w:rPr>
        <w:t>内容超越乡镇（街道)权限范围的事项，应建议不予提请作出或提请有权机关作出。</w:t>
      </w:r>
    </w:p>
    <w:p w14:paraId="6364142B">
      <w:pPr>
        <w:pStyle w:val="167"/>
      </w:pPr>
      <w:r>
        <w:rPr>
          <w:rFonts w:hint="eastAsia"/>
        </w:rPr>
        <w:t>审查意见书应载明下列内容：</w:t>
      </w:r>
    </w:p>
    <w:p w14:paraId="6E0B5F57">
      <w:pPr>
        <w:pStyle w:val="176"/>
        <w:numPr>
          <w:ilvl w:val="0"/>
          <w:numId w:val="48"/>
        </w:numPr>
      </w:pPr>
      <w:r>
        <w:rPr>
          <w:rFonts w:hint="eastAsia"/>
        </w:rPr>
        <w:t>审查事项名称；</w:t>
      </w:r>
    </w:p>
    <w:p w14:paraId="5CCBF68E">
      <w:pPr>
        <w:pStyle w:val="176"/>
      </w:pPr>
      <w:r>
        <w:rPr>
          <w:rFonts w:hint="eastAsia"/>
        </w:rPr>
        <w:t>审查过程；</w:t>
      </w:r>
    </w:p>
    <w:p w14:paraId="52B7EE18">
      <w:pPr>
        <w:pStyle w:val="176"/>
      </w:pPr>
      <w:r>
        <w:rPr>
          <w:rFonts w:hint="eastAsia"/>
        </w:rPr>
        <w:t>审查依据及理由；</w:t>
      </w:r>
    </w:p>
    <w:p w14:paraId="58165D31">
      <w:pPr>
        <w:pStyle w:val="176"/>
      </w:pPr>
      <w:r>
        <w:rPr>
          <w:rFonts w:hint="eastAsia"/>
        </w:rPr>
        <w:t>审查结论和具体的意见、建议；</w:t>
      </w:r>
    </w:p>
    <w:p w14:paraId="12912DE9">
      <w:pPr>
        <w:pStyle w:val="176"/>
      </w:pPr>
      <w:r>
        <w:rPr>
          <w:rFonts w:hint="eastAsia"/>
        </w:rPr>
        <w:t>印章和审查时间；</w:t>
      </w:r>
    </w:p>
    <w:p w14:paraId="1E4E43CC">
      <w:pPr>
        <w:pStyle w:val="176"/>
      </w:pPr>
      <w:r>
        <w:rPr>
          <w:rFonts w:hint="eastAsia"/>
        </w:rPr>
        <w:t>联系人及联系方式。</w:t>
      </w:r>
    </w:p>
    <w:p w14:paraId="5FE0ACAB">
      <w:pPr>
        <w:pStyle w:val="107"/>
        <w:spacing w:before="156" w:after="156"/>
      </w:pPr>
      <w:bookmarkStart w:id="89" w:name="_Toc175908056"/>
      <w:r>
        <w:rPr>
          <w:rFonts w:hint="eastAsia"/>
        </w:rPr>
        <w:t>意见处理</w:t>
      </w:r>
      <w:bookmarkEnd w:id="89"/>
    </w:p>
    <w:p w14:paraId="63436CEC">
      <w:pPr>
        <w:pStyle w:val="167"/>
      </w:pPr>
      <w:r>
        <w:rPr>
          <w:rFonts w:hint="eastAsia"/>
        </w:rPr>
        <w:t>对合法性审查机构或人员提出的合法性审查意见，乡镇(街道）党政办公室及承办机构应认真研究审查意见，并根据意见作相应修改。</w:t>
      </w:r>
    </w:p>
    <w:p w14:paraId="28C31BC3">
      <w:pPr>
        <w:pStyle w:val="167"/>
      </w:pPr>
      <w:r>
        <w:rPr>
          <w:rFonts w:hint="eastAsia"/>
        </w:rPr>
        <w:t>承办机构认为审查意见无法采纳的，应与司法所沟通协商，达成一致意见；无法达成一致意见的，应提请乡镇(街道）相关会议审议决定。</w:t>
      </w:r>
    </w:p>
    <w:p w14:paraId="15237C75">
      <w:pPr>
        <w:pStyle w:val="167"/>
      </w:pPr>
      <w:r>
        <w:rPr>
          <w:rFonts w:hint="eastAsia"/>
        </w:rPr>
        <w:t>未经合法性审查或者经审查不合法的，不得提交集体审议，不得提请领导审签。</w:t>
      </w:r>
    </w:p>
    <w:bookmarkEnd w:id="24"/>
    <w:p w14:paraId="76588556">
      <w:pPr>
        <w:pStyle w:val="58"/>
        <w:ind w:firstLine="420"/>
        <w:sectPr>
          <w:pgSz w:w="11906" w:h="16838"/>
          <w:pgMar w:top="2410" w:right="1134" w:bottom="1134" w:left="1134" w:header="1418" w:footer="1134" w:gutter="284"/>
          <w:cols w:space="425" w:num="1"/>
          <w:formProt w:val="0"/>
          <w:docGrid w:type="lines" w:linePitch="312" w:charSpace="0"/>
        </w:sectPr>
      </w:pPr>
      <w:bookmarkStart w:id="90" w:name="BookMark5"/>
    </w:p>
    <w:p w14:paraId="730319FF">
      <w:pPr>
        <w:pStyle w:val="200"/>
        <w:rPr>
          <w:vanish w:val="0"/>
        </w:rPr>
      </w:pPr>
    </w:p>
    <w:p w14:paraId="4F3F42E4">
      <w:pPr>
        <w:pStyle w:val="201"/>
        <w:rPr>
          <w:vanish w:val="0"/>
        </w:rPr>
      </w:pPr>
    </w:p>
    <w:p w14:paraId="5801DBEC">
      <w:pPr>
        <w:pStyle w:val="78"/>
        <w:spacing w:before="78" w:after="156"/>
      </w:pPr>
      <w:r>
        <w:br w:type="textWrapping"/>
      </w:r>
      <w:bookmarkStart w:id="91" w:name="_Toc175908073"/>
      <w:bookmarkStart w:id="92" w:name="_Toc175908059"/>
      <w:bookmarkStart w:id="93" w:name="_Toc175910612"/>
      <w:r>
        <w:rPr>
          <w:rFonts w:hint="eastAsia"/>
        </w:rPr>
        <w:t>（规范性）</w:t>
      </w:r>
      <w:r>
        <w:br w:type="textWrapping"/>
      </w:r>
      <w:r>
        <w:rPr>
          <w:rFonts w:hint="eastAsia"/>
        </w:rPr>
        <w:t>合法性审查事项目录清单</w:t>
      </w:r>
      <w:bookmarkEnd w:id="91"/>
      <w:bookmarkEnd w:id="92"/>
      <w:bookmarkEnd w:id="93"/>
    </w:p>
    <w:p w14:paraId="27D7BA4E">
      <w:pPr>
        <w:pStyle w:val="58"/>
      </w:pPr>
    </w:p>
    <w:p w14:paraId="41C23068">
      <w:pPr>
        <w:pStyle w:val="58"/>
        <w:ind w:firstLine="0" w:firstLineChars="0"/>
        <w:rPr>
          <w:rFonts w:hint="eastAsia"/>
        </w:rPr>
      </w:pPr>
      <w:r>
        <w:rPr>
          <w:rFonts w:hint="eastAsia"/>
        </w:rPr>
        <w:t>A.1合法性审查市场目录清单见表A.1</w:t>
      </w:r>
    </w:p>
    <w:p w14:paraId="6D66E611">
      <w:pPr>
        <w:pStyle w:val="58"/>
        <w:ind w:firstLine="0" w:firstLineChars="0"/>
        <w:rPr>
          <w:rFonts w:hint="eastAsia"/>
        </w:rPr>
      </w:pPr>
    </w:p>
    <w:p w14:paraId="64D8B70A">
      <w:pPr>
        <w:pStyle w:val="79"/>
        <w:spacing w:before="156" w:after="156"/>
        <w:rPr>
          <w:rFonts w:hint="eastAsia" w:ascii="宋体" w:hAnsi="宋体" w:eastAsia="宋体" w:cs="宋体"/>
          <w:sz w:val="18"/>
          <w:szCs w:val="18"/>
        </w:rPr>
      </w:pPr>
      <w:r>
        <w:rPr>
          <w:rFonts w:hint="eastAsia" w:ascii="宋体" w:hAnsi="宋体" w:eastAsia="宋体" w:cs="宋体"/>
          <w:sz w:val="18"/>
          <w:szCs w:val="18"/>
        </w:rPr>
        <w:t>合法性审查市场目录清单</w:t>
      </w:r>
    </w:p>
    <w:tbl>
      <w:tblPr>
        <w:tblStyle w:val="28"/>
        <w:tblW w:w="9562" w:type="dxa"/>
        <w:tblInd w:w="135" w:type="dxa"/>
        <w:tblBorders>
          <w:top w:val="single" w:color="auto" w:sz="4"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36"/>
        <w:gridCol w:w="1765"/>
        <w:gridCol w:w="1765"/>
        <w:gridCol w:w="5296"/>
      </w:tblGrid>
      <w:tr w14:paraId="6D5A47A4">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2" w:hRule="atLeast"/>
        </w:trPr>
        <w:tc>
          <w:tcPr>
            <w:tcW w:w="736" w:type="dxa"/>
            <w:tcBorders>
              <w:top w:val="single" w:color="auto" w:sz="4" w:space="0"/>
              <w:left w:val="single" w:color="auto" w:sz="6" w:space="0"/>
              <w:bottom w:val="single" w:color="auto" w:sz="4" w:space="0"/>
              <w:right w:val="single" w:color="auto" w:sz="6" w:space="0"/>
            </w:tcBorders>
            <w:noWrap/>
            <w:tcMar>
              <w:top w:w="0" w:type="dxa"/>
              <w:left w:w="105" w:type="dxa"/>
              <w:bottom w:w="0" w:type="dxa"/>
              <w:right w:w="105" w:type="dxa"/>
            </w:tcMar>
            <w:vAlign w:val="center"/>
          </w:tcPr>
          <w:p w14:paraId="53B5890D">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765" w:type="dxa"/>
            <w:tcBorders>
              <w:top w:val="single" w:color="auto" w:sz="4" w:space="0"/>
              <w:left w:val="nil"/>
              <w:bottom w:val="single" w:color="auto" w:sz="4" w:space="0"/>
              <w:right w:val="single" w:color="auto" w:sz="6" w:space="0"/>
            </w:tcBorders>
            <w:noWrap/>
            <w:tcMar>
              <w:top w:w="0" w:type="dxa"/>
              <w:left w:w="105" w:type="dxa"/>
              <w:bottom w:w="0" w:type="dxa"/>
              <w:right w:w="105" w:type="dxa"/>
            </w:tcMar>
            <w:vAlign w:val="center"/>
          </w:tcPr>
          <w:p w14:paraId="2E8A341A">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审查类别</w:t>
            </w:r>
          </w:p>
        </w:tc>
        <w:tc>
          <w:tcPr>
            <w:tcW w:w="1765" w:type="dxa"/>
            <w:tcBorders>
              <w:top w:val="single" w:color="auto" w:sz="4" w:space="0"/>
              <w:left w:val="nil"/>
              <w:bottom w:val="single" w:color="auto" w:sz="4" w:space="0"/>
              <w:right w:val="single" w:color="auto" w:sz="6" w:space="0"/>
            </w:tcBorders>
            <w:noWrap/>
            <w:tcMar>
              <w:top w:w="0" w:type="dxa"/>
              <w:left w:w="105" w:type="dxa"/>
              <w:bottom w:w="0" w:type="dxa"/>
              <w:right w:w="105" w:type="dxa"/>
            </w:tcMar>
            <w:vAlign w:val="center"/>
          </w:tcPr>
          <w:p w14:paraId="53776ECA">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事项名称</w:t>
            </w:r>
          </w:p>
        </w:tc>
        <w:tc>
          <w:tcPr>
            <w:tcW w:w="5296" w:type="dxa"/>
            <w:tcBorders>
              <w:top w:val="single" w:color="auto" w:sz="4" w:space="0"/>
              <w:left w:val="nil"/>
              <w:bottom w:val="single" w:color="auto" w:sz="4" w:space="0"/>
              <w:right w:val="single" w:color="auto" w:sz="6" w:space="0"/>
            </w:tcBorders>
            <w:noWrap/>
            <w:tcMar>
              <w:top w:w="0" w:type="dxa"/>
              <w:left w:w="105" w:type="dxa"/>
              <w:bottom w:w="0" w:type="dxa"/>
              <w:right w:w="105" w:type="dxa"/>
            </w:tcMar>
            <w:vAlign w:val="center"/>
          </w:tcPr>
          <w:p w14:paraId="6B645A48">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具体示例</w:t>
            </w:r>
          </w:p>
        </w:tc>
      </w:tr>
      <w:tr w14:paraId="458A80B5">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8E0D65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3C725B03">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CC72E1B">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产业发展类文件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3757BCF2">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例如产业高质量发展、产业扶持、产业奖励补贴等方面的文件</w:t>
            </w:r>
          </w:p>
        </w:tc>
      </w:tr>
      <w:tr w14:paraId="793DD03C">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DB7FF93">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2</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08CE2E6">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676769BB">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工程管理类文件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4CD85DF3">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例如工程项目管理、工程招投标管理、公共资源交易管理等方面的文件</w:t>
            </w:r>
          </w:p>
        </w:tc>
      </w:tr>
      <w:tr w14:paraId="722A9D50">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3"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62CD70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3</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4B7CB03">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C6DDC0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资产管理类文件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6158790A">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例如村社“三资”（资金、资产、资源）管理、国有房产集中管理、产业园区厂房租赁使用管理等方面的文件</w:t>
            </w:r>
          </w:p>
        </w:tc>
      </w:tr>
      <w:tr w14:paraId="633C4BB4">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7"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416BAFC">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4</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F2A9742">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EA3FC5F">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营商环境类文件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14D4F9D3">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例如惠企服务、助企纾困、企业监管服务等方面的文件</w:t>
            </w:r>
          </w:p>
        </w:tc>
      </w:tr>
      <w:tr w14:paraId="72236DFE">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1"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FB0CA0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5</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309EA711">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4FCD87B6">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乡村振兴类文件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09C1415">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例如农业农村高质量发展、美丽乡村建设、耕地整治、创业安居专项行动、闲置农房盘活等方面的文件</w:t>
            </w:r>
          </w:p>
        </w:tc>
      </w:tr>
      <w:tr w14:paraId="132C4410">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2"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4A6BCB7">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6</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10AD28DB">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23D8EE0">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住房保障类文件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6289417D">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例如农民建房规范化管理、宅基地管理审批规范、住房困难家庭安置等方面的文件</w:t>
            </w:r>
          </w:p>
        </w:tc>
      </w:tr>
      <w:tr w14:paraId="45AFF16F">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3"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13E8FB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7</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CC9BDE2">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13285A6">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征收补偿类文件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15C4E012">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例如农房改造、搬迁置换、集体土地房屋征收补偿安置、非住宅类国有土地收购补偿等涉及不特定主体权利义务的文件</w:t>
            </w:r>
          </w:p>
        </w:tc>
      </w:tr>
      <w:tr w14:paraId="0B5638DF">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8"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2A81D7C">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8</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5E2786A">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A44E2F7">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违建拆除类文件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B007D7C">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例如违法建筑拆除、危旧房管理、农村乱占耕地建房问题整治等方面的文件</w:t>
            </w:r>
          </w:p>
        </w:tc>
      </w:tr>
      <w:tr w14:paraId="5949C2C5">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2"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A5BDD3F">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9</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5D4BED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7C0C09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安全生产类文件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0C947B0">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例如安全生产举报奖励、安全生产责任追究、安全专项生产整治、消防安全专项行动等方面的文件</w:t>
            </w:r>
          </w:p>
        </w:tc>
      </w:tr>
      <w:tr w14:paraId="4346EB51">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2"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1F196E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10</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83DF0A7">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176E8BE6">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社会管理类文件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0D2FACB">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例如违法行为举报奖励、流动摊贩管理、渣土管理、农村集体聚餐规范等方面的文件</w:t>
            </w:r>
          </w:p>
        </w:tc>
      </w:tr>
      <w:tr w14:paraId="3FE1DEA0">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8"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DE89E58">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11</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A7D4048">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1BD1FD5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社会保障类文件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CFD2D4E">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例如退休人员困难补助、特殊困难家庭扶助、高龄老人补助等方面的文件</w:t>
            </w:r>
          </w:p>
        </w:tc>
      </w:tr>
      <w:tr w14:paraId="2AF25869">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8"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15D8996">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12</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48216A42">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4910A79C">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人才保障类文件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A793B68">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例如人才引进奖励、人才服务保障、就业鼓励政策、高级人才培育等方面的文件</w:t>
            </w:r>
          </w:p>
        </w:tc>
      </w:tr>
    </w:tbl>
    <w:p w14:paraId="1766C4DA">
      <w:pPr>
        <w:pStyle w:val="79"/>
        <w:numPr>
          <w:ilvl w:val="1"/>
          <w:numId w:val="49"/>
        </w:numPr>
        <w:spacing w:before="156" w:after="156"/>
        <w:rPr>
          <w:rFonts w:hint="eastAsia" w:ascii="宋体" w:hAnsi="宋体" w:eastAsia="宋体" w:cs="宋体"/>
          <w:sz w:val="18"/>
          <w:szCs w:val="18"/>
        </w:rPr>
      </w:pPr>
      <w:r>
        <w:rPr>
          <w:rFonts w:hint="eastAsia" w:ascii="宋体" w:hAnsi="宋体" w:eastAsia="宋体" w:cs="宋体"/>
          <w:sz w:val="18"/>
          <w:szCs w:val="18"/>
        </w:rPr>
        <w:t>合法性审查市场目录清单（续）</w:t>
      </w:r>
    </w:p>
    <w:tbl>
      <w:tblPr>
        <w:tblStyle w:val="28"/>
        <w:tblW w:w="9562" w:type="dxa"/>
        <w:tblInd w:w="135" w:type="dxa"/>
        <w:tblBorders>
          <w:top w:val="single" w:color="auto" w:sz="4"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36"/>
        <w:gridCol w:w="1765"/>
        <w:gridCol w:w="1765"/>
        <w:gridCol w:w="5296"/>
      </w:tblGrid>
      <w:tr w14:paraId="6D25C89B">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2" w:hRule="atLeast"/>
        </w:trPr>
        <w:tc>
          <w:tcPr>
            <w:tcW w:w="736" w:type="dxa"/>
            <w:tcBorders>
              <w:top w:val="single" w:color="auto" w:sz="4" w:space="0"/>
              <w:left w:val="single" w:color="auto" w:sz="6" w:space="0"/>
              <w:bottom w:val="single" w:color="auto" w:sz="4" w:space="0"/>
              <w:right w:val="single" w:color="auto" w:sz="6" w:space="0"/>
            </w:tcBorders>
            <w:noWrap/>
            <w:tcMar>
              <w:top w:w="0" w:type="dxa"/>
              <w:left w:w="105" w:type="dxa"/>
              <w:bottom w:w="0" w:type="dxa"/>
              <w:right w:w="105" w:type="dxa"/>
            </w:tcMar>
            <w:vAlign w:val="center"/>
          </w:tcPr>
          <w:p w14:paraId="021B4DC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765" w:type="dxa"/>
            <w:tcBorders>
              <w:top w:val="single" w:color="auto" w:sz="4" w:space="0"/>
              <w:left w:val="nil"/>
              <w:bottom w:val="single" w:color="auto" w:sz="4" w:space="0"/>
              <w:right w:val="single" w:color="auto" w:sz="6" w:space="0"/>
            </w:tcBorders>
            <w:noWrap/>
            <w:tcMar>
              <w:top w:w="0" w:type="dxa"/>
              <w:left w:w="105" w:type="dxa"/>
              <w:bottom w:w="0" w:type="dxa"/>
              <w:right w:w="105" w:type="dxa"/>
            </w:tcMar>
            <w:vAlign w:val="center"/>
          </w:tcPr>
          <w:p w14:paraId="78D6F190">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审查类别</w:t>
            </w:r>
          </w:p>
        </w:tc>
        <w:tc>
          <w:tcPr>
            <w:tcW w:w="1765" w:type="dxa"/>
            <w:tcBorders>
              <w:top w:val="single" w:color="auto" w:sz="4" w:space="0"/>
              <w:left w:val="nil"/>
              <w:bottom w:val="single" w:color="auto" w:sz="4" w:space="0"/>
              <w:right w:val="single" w:color="auto" w:sz="6" w:space="0"/>
            </w:tcBorders>
            <w:noWrap/>
            <w:tcMar>
              <w:top w:w="0" w:type="dxa"/>
              <w:left w:w="105" w:type="dxa"/>
              <w:bottom w:w="0" w:type="dxa"/>
              <w:right w:w="105" w:type="dxa"/>
            </w:tcMar>
            <w:vAlign w:val="center"/>
          </w:tcPr>
          <w:p w14:paraId="626A70EA">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事项名称</w:t>
            </w:r>
          </w:p>
        </w:tc>
        <w:tc>
          <w:tcPr>
            <w:tcW w:w="5296" w:type="dxa"/>
            <w:tcBorders>
              <w:top w:val="single" w:color="auto" w:sz="4" w:space="0"/>
              <w:left w:val="nil"/>
              <w:bottom w:val="single" w:color="auto" w:sz="4" w:space="0"/>
              <w:right w:val="single" w:color="auto" w:sz="6" w:space="0"/>
            </w:tcBorders>
            <w:noWrap/>
            <w:tcMar>
              <w:top w:w="0" w:type="dxa"/>
              <w:left w:w="105" w:type="dxa"/>
              <w:bottom w:w="0" w:type="dxa"/>
              <w:right w:w="105" w:type="dxa"/>
            </w:tcMar>
            <w:vAlign w:val="center"/>
          </w:tcPr>
          <w:p w14:paraId="5BE7522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具体示例</w:t>
            </w:r>
          </w:p>
        </w:tc>
      </w:tr>
      <w:tr w14:paraId="4F8B49C6">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43DA38B">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13</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D5952E0">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7514A4D">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文化教育类文件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A1C2653">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例如文旅产业发展、景区（景区村、景区镇）建设管理、民宿管理、支持教育发展等方面的文件</w:t>
            </w:r>
          </w:p>
        </w:tc>
      </w:tr>
      <w:tr w14:paraId="23981EE1">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45"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A587763">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14</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6084851">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942E35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环境保护类文件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38B00C9D">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例如农村生活污水治理、行业专项生态环保整治、人居环境整治、农村环境卫生和垃圾分类、环卫服务费收取等方面的文件</w:t>
            </w:r>
          </w:p>
        </w:tc>
      </w:tr>
      <w:tr w14:paraId="1952BA7E">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40"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0E8BD0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15</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ED15F8A">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3974E923">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行政裁量类文件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3A21687A">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例如行政裁量基准设定、行政处罚听证程序规范等方面的文件</w:t>
            </w:r>
          </w:p>
        </w:tc>
      </w:tr>
      <w:tr w14:paraId="097F787A">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2"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F499BA5">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16</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468C169D">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64B7A478">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专项行动类文件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4A907D7">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专项行动方案、工作方案、实施方案，内容涉及不特定公民、法人和其他组织权利义务的</w:t>
            </w:r>
          </w:p>
        </w:tc>
      </w:tr>
      <w:tr w14:paraId="7888A6A0">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7"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7AD1CAB">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17</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D178958">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B068B3C">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转发上级类文件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3634C6E">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转发上级机关行政规范性文件，转发文件中提出具体实施措施，并涉及不特定公民、法人或者其他组织的权利义务</w:t>
            </w:r>
          </w:p>
        </w:tc>
      </w:tr>
      <w:tr w14:paraId="77E174E1">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2"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1FE97DB">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18</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4CE5674A">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4EB2033F">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文件清理类文件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4F87EFD">
            <w:pPr>
              <w:pStyle w:val="26"/>
              <w:spacing w:before="0" w:beforeAutospacing="0" w:after="0" w:afterAutospacing="0"/>
              <w:rPr>
                <w:rFonts w:hint="eastAsia" w:ascii="宋体" w:hAnsi="宋体" w:eastAsia="宋体" w:cs="宋体"/>
                <w:sz w:val="18"/>
                <w:szCs w:val="18"/>
              </w:rPr>
            </w:pPr>
            <w:r>
              <w:rPr>
                <w:rFonts w:hint="eastAsia" w:ascii="宋体" w:hAnsi="宋体" w:eastAsia="宋体" w:cs="宋体"/>
                <w:sz w:val="18"/>
                <w:szCs w:val="18"/>
              </w:rPr>
              <w:t>行政规范性文件清理结果的通知、废止部分行政规范性文件的通知</w:t>
            </w:r>
          </w:p>
        </w:tc>
      </w:tr>
      <w:tr w14:paraId="345AA2EF">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5"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A9804C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19</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B8D5D21">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行政规范性文件</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667CFC0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其他类文件</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E2B3D87">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其他符合法律法规规定的行政规范性文件</w:t>
            </w:r>
          </w:p>
        </w:tc>
      </w:tr>
      <w:tr w14:paraId="2725ED30">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F262159">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20</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6A9D821">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重大行政决策</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D9B2BA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其他类</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3B780451">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对本镇经济社会发展有重大影响、涉及重大公共利益或者社会公众切身利益的其他重大事项</w:t>
            </w:r>
          </w:p>
        </w:tc>
      </w:tr>
      <w:tr w14:paraId="2110CE1D">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975EB01">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21</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EB2015D">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行政协议</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1A333CDD">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土地、房屋等征收征用补偿协议</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F042A52">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例如全域整治、道路建设项目土地、房屋征收补偿协议</w:t>
            </w:r>
          </w:p>
        </w:tc>
      </w:tr>
      <w:tr w14:paraId="27601DC6">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09B74B3">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22</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342514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行政协议</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DD18CDC">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其他合同</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15EB91BC">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镇或其设立的国有企业作为一方当事人的其他合同</w:t>
            </w:r>
          </w:p>
        </w:tc>
      </w:tr>
      <w:tr w14:paraId="77389A98">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9B0AF3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23</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724E9FE9">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重大行政执法决定</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8220D19">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行政许可类</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51CBC42E">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例如村经济合作社合并、分立、终止核准等</w:t>
            </w:r>
          </w:p>
        </w:tc>
      </w:tr>
      <w:tr w14:paraId="378876DD">
        <w:tblPrEx>
          <w:tblBorders>
            <w:top w:val="single" w:color="auto" w:sz="4"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3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C74985D">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24</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17C9F10A">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重大行政执法决定</w:t>
            </w:r>
          </w:p>
        </w:tc>
        <w:tc>
          <w:tcPr>
            <w:tcW w:w="1765"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296AB45F">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5296" w:type="dxa"/>
            <w:tcBorders>
              <w:top w:val="single" w:color="auto" w:sz="4" w:space="0"/>
              <w:left w:val="nil"/>
              <w:bottom w:val="single" w:color="auto" w:sz="4" w:space="0"/>
              <w:right w:val="single" w:color="auto" w:sz="4" w:space="0"/>
            </w:tcBorders>
            <w:noWrap/>
            <w:tcMar>
              <w:top w:w="0" w:type="dxa"/>
              <w:left w:w="105" w:type="dxa"/>
              <w:bottom w:w="0" w:type="dxa"/>
              <w:right w:w="105" w:type="dxa"/>
            </w:tcMar>
            <w:vAlign w:val="center"/>
          </w:tcPr>
          <w:p w14:paraId="065BCF44">
            <w:pPr>
              <w:pStyle w:val="26"/>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例如其他法律法规规定的行政执法事项，其他影响公民、法人或其他组织财产权利、人身权利的</w:t>
            </w:r>
          </w:p>
        </w:tc>
      </w:tr>
    </w:tbl>
    <w:p w14:paraId="7115D820">
      <w:pPr>
        <w:pStyle w:val="58"/>
        <w:ind w:firstLine="0" w:firstLineChars="0"/>
        <w:rPr>
          <w:rFonts w:hint="eastAsia" w:ascii="宋体" w:hAnsi="宋体" w:eastAsia="宋体" w:cs="宋体"/>
          <w:sz w:val="18"/>
          <w:szCs w:val="18"/>
        </w:rPr>
      </w:pPr>
    </w:p>
    <w:bookmarkEnd w:id="90"/>
    <w:p w14:paraId="37325476">
      <w:pPr>
        <w:pStyle w:val="58"/>
        <w:ind w:firstLine="0" w:firstLineChars="0"/>
        <w:jc w:val="center"/>
      </w:pPr>
      <w:bookmarkStart w:id="94" w:name="BookMark8"/>
      <w:r>
        <w:rPr>
          <w:rFonts w:hint="eastAsia" w:ascii="宋体" w:hAnsi="宋体" w:eastAsia="宋体" w:cs="宋体"/>
          <w:sz w:val="18"/>
          <w:szCs w:val="18"/>
        </w:rPr>
        <w:drawing>
          <wp:inline distT="0" distB="0" distL="0" distR="0">
            <wp:extent cx="1485900" cy="317500"/>
            <wp:effectExtent l="1905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6" cstate="print"/>
                    <a:stretch>
                      <a:fillRect/>
                    </a:stretch>
                  </pic:blipFill>
                  <pic:spPr>
                    <a:xfrm>
                      <a:off x="0" y="0"/>
                      <a:ext cx="1485900" cy="317500"/>
                    </a:xfrm>
                    <a:prstGeom prst="rect">
                      <a:avLst/>
                    </a:prstGeom>
                  </pic:spPr>
                </pic:pic>
              </a:graphicData>
            </a:graphic>
          </wp:inline>
        </w:drawing>
      </w:r>
      <w:bookmarkEnd w:id="94"/>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77B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E0BC">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15E8">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FCC13">
    <w:pPr>
      <w:pStyle w:val="54"/>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1987">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193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774C">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C969">
    <w:pPr>
      <w:pStyle w:val="63"/>
    </w:pPr>
    <w:r>
      <w:fldChar w:fldCharType="begin"/>
    </w:r>
    <w:r>
      <w:instrText xml:space="preserve"> STYLEREF  标准文件_文件编号  \* MERGEFORMAT </w:instrText>
    </w:r>
    <w:r>
      <w:fldChar w:fldCharType="separate"/>
    </w:r>
    <w:r>
      <w:t>DB3206/TXXXX—2025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7CFD">
    <w:pPr>
      <w:pStyle w:val="19"/>
      <w:jc w:val="right"/>
      <w:rPr>
        <w:lang w:val="fr-FR"/>
      </w:rPr>
    </w:pPr>
    <w:r>
      <w:fldChar w:fldCharType="begin"/>
    </w:r>
    <w:r>
      <w:instrText xml:space="preserve"> STYLEREF  标准文件_文件编号  \* MERGEFORMAT </w:instrText>
    </w:r>
    <w:r>
      <w:fldChar w:fldCharType="separate"/>
    </w:r>
    <w:r>
      <w:t>DB3206/TXXXX—2025</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attachedTemplate r:id="rId1"/>
  <w:documentProtection w:edit="forms" w:enforcement="1" w:cryptProviderType="rsaFull" w:cryptAlgorithmClass="hash" w:cryptAlgorithmType="typeAny" w:cryptAlgorithmSid="4" w:cryptSpinCount="50000" w:hash="d9AZSYxCpYPjFFTTXEu9hXuDFi4=" w:salt="ttAJVyWoAvM972Z1sLACB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wZTYyMzVmNDZkODYwYWM0MDVjOGMxNDYwMzQ4NWMifQ=="/>
  </w:docVars>
  <w:rsids>
    <w:rsidRoot w:val="00206AC4"/>
    <w:rsid w:val="0000040A"/>
    <w:rsid w:val="00000A94"/>
    <w:rsid w:val="00001972"/>
    <w:rsid w:val="00001D9A"/>
    <w:rsid w:val="00007B3A"/>
    <w:rsid w:val="000107E0"/>
    <w:rsid w:val="00011FDE"/>
    <w:rsid w:val="00012FFD"/>
    <w:rsid w:val="00014162"/>
    <w:rsid w:val="00014340"/>
    <w:rsid w:val="00016A9C"/>
    <w:rsid w:val="00022184"/>
    <w:rsid w:val="00022762"/>
    <w:rsid w:val="000228B9"/>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CE5"/>
    <w:rsid w:val="0006357D"/>
    <w:rsid w:val="000654A0"/>
    <w:rsid w:val="00067F1E"/>
    <w:rsid w:val="00071CC0"/>
    <w:rsid w:val="00073C8C"/>
    <w:rsid w:val="00077B64"/>
    <w:rsid w:val="00080A1C"/>
    <w:rsid w:val="00082317"/>
    <w:rsid w:val="00083D2C"/>
    <w:rsid w:val="00086AA1"/>
    <w:rsid w:val="00087A77"/>
    <w:rsid w:val="0009034B"/>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2AA"/>
    <w:rsid w:val="00135323"/>
    <w:rsid w:val="001356C4"/>
    <w:rsid w:val="0014054A"/>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1A7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76"/>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09A8"/>
    <w:rsid w:val="0020107D"/>
    <w:rsid w:val="00202AA4"/>
    <w:rsid w:val="002031F7"/>
    <w:rsid w:val="002040E6"/>
    <w:rsid w:val="0020527B"/>
    <w:rsid w:val="00205F2C"/>
    <w:rsid w:val="00206AC4"/>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E66"/>
    <w:rsid w:val="002A25DC"/>
    <w:rsid w:val="002A3AAB"/>
    <w:rsid w:val="002A4CEA"/>
    <w:rsid w:val="002A5977"/>
    <w:rsid w:val="002A5A13"/>
    <w:rsid w:val="002A757F"/>
    <w:rsid w:val="002A7F44"/>
    <w:rsid w:val="002B0C40"/>
    <w:rsid w:val="002B1966"/>
    <w:rsid w:val="002B4508"/>
    <w:rsid w:val="002B5779"/>
    <w:rsid w:val="002B6BF3"/>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3C"/>
    <w:rsid w:val="002F7AF6"/>
    <w:rsid w:val="00300E63"/>
    <w:rsid w:val="00302F5F"/>
    <w:rsid w:val="0030441D"/>
    <w:rsid w:val="003056AD"/>
    <w:rsid w:val="003058CC"/>
    <w:rsid w:val="00306063"/>
    <w:rsid w:val="00313B85"/>
    <w:rsid w:val="00315F4C"/>
    <w:rsid w:val="00317988"/>
    <w:rsid w:val="003179F1"/>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799F"/>
    <w:rsid w:val="00463B77"/>
    <w:rsid w:val="00463C7B"/>
    <w:rsid w:val="004644A6"/>
    <w:rsid w:val="00464801"/>
    <w:rsid w:val="004659BD"/>
    <w:rsid w:val="00470775"/>
    <w:rsid w:val="004746B1"/>
    <w:rsid w:val="0047583F"/>
    <w:rsid w:val="00475DE8"/>
    <w:rsid w:val="004801A4"/>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83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14A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3D62"/>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2FDA"/>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E40"/>
    <w:rsid w:val="005E2335"/>
    <w:rsid w:val="005E34CA"/>
    <w:rsid w:val="005E3C18"/>
    <w:rsid w:val="005E6812"/>
    <w:rsid w:val="005E7881"/>
    <w:rsid w:val="005E78E0"/>
    <w:rsid w:val="005F0D9C"/>
    <w:rsid w:val="005F2085"/>
    <w:rsid w:val="005F284E"/>
    <w:rsid w:val="005F4712"/>
    <w:rsid w:val="006015CE"/>
    <w:rsid w:val="00601BBD"/>
    <w:rsid w:val="00604784"/>
    <w:rsid w:val="00606419"/>
    <w:rsid w:val="00607D29"/>
    <w:rsid w:val="00612952"/>
    <w:rsid w:val="00614CC1"/>
    <w:rsid w:val="00615A9D"/>
    <w:rsid w:val="00617387"/>
    <w:rsid w:val="006205D6"/>
    <w:rsid w:val="006252D8"/>
    <w:rsid w:val="00625304"/>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C70"/>
    <w:rsid w:val="00653FED"/>
    <w:rsid w:val="00654EC0"/>
    <w:rsid w:val="0065525B"/>
    <w:rsid w:val="00655D4F"/>
    <w:rsid w:val="00656D29"/>
    <w:rsid w:val="00662BC0"/>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1F7"/>
    <w:rsid w:val="006850CD"/>
    <w:rsid w:val="00685AAB"/>
    <w:rsid w:val="00695D22"/>
    <w:rsid w:val="006A07AA"/>
    <w:rsid w:val="006A25E5"/>
    <w:rsid w:val="006A2B46"/>
    <w:rsid w:val="006A336D"/>
    <w:rsid w:val="006A37B9"/>
    <w:rsid w:val="006B2672"/>
    <w:rsid w:val="006B318C"/>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2E5A"/>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61C1"/>
    <w:rsid w:val="00727FA2"/>
    <w:rsid w:val="007322D9"/>
    <w:rsid w:val="00732BC0"/>
    <w:rsid w:val="007347BB"/>
    <w:rsid w:val="0073720F"/>
    <w:rsid w:val="00737796"/>
    <w:rsid w:val="0074165C"/>
    <w:rsid w:val="00742C35"/>
    <w:rsid w:val="007432CA"/>
    <w:rsid w:val="007439EB"/>
    <w:rsid w:val="00743C36"/>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3EBE"/>
    <w:rsid w:val="00856316"/>
    <w:rsid w:val="008603CE"/>
    <w:rsid w:val="008620FC"/>
    <w:rsid w:val="008627A5"/>
    <w:rsid w:val="00863E05"/>
    <w:rsid w:val="00865ACA"/>
    <w:rsid w:val="00865D28"/>
    <w:rsid w:val="00865F85"/>
    <w:rsid w:val="00867C10"/>
    <w:rsid w:val="00870439"/>
    <w:rsid w:val="00870DA1"/>
    <w:rsid w:val="008718E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344"/>
    <w:rsid w:val="008F0CDC"/>
    <w:rsid w:val="008F17A3"/>
    <w:rsid w:val="008F1ED3"/>
    <w:rsid w:val="008F23A5"/>
    <w:rsid w:val="008F4C29"/>
    <w:rsid w:val="008F70BD"/>
    <w:rsid w:val="008F788F"/>
    <w:rsid w:val="008F7EA2"/>
    <w:rsid w:val="00902722"/>
    <w:rsid w:val="009027BC"/>
    <w:rsid w:val="00904311"/>
    <w:rsid w:val="009062E6"/>
    <w:rsid w:val="00911BE5"/>
    <w:rsid w:val="00913CA9"/>
    <w:rsid w:val="009145AE"/>
    <w:rsid w:val="009146CE"/>
    <w:rsid w:val="00914CA7"/>
    <w:rsid w:val="00915C3E"/>
    <w:rsid w:val="009161A8"/>
    <w:rsid w:val="009245F5"/>
    <w:rsid w:val="009249EC"/>
    <w:rsid w:val="009273B3"/>
    <w:rsid w:val="009305B5"/>
    <w:rsid w:val="0093073C"/>
    <w:rsid w:val="009429D5"/>
    <w:rsid w:val="00942A92"/>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3F69"/>
    <w:rsid w:val="009B6029"/>
    <w:rsid w:val="009B6971"/>
    <w:rsid w:val="009C27F1"/>
    <w:rsid w:val="009C3152"/>
    <w:rsid w:val="009C4CFA"/>
    <w:rsid w:val="009C5070"/>
    <w:rsid w:val="009D112C"/>
    <w:rsid w:val="009D47FA"/>
    <w:rsid w:val="009D4C5B"/>
    <w:rsid w:val="009D50D2"/>
    <w:rsid w:val="009D69D7"/>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B1D"/>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1EE"/>
    <w:rsid w:val="00AA672E"/>
    <w:rsid w:val="00AA6EC9"/>
    <w:rsid w:val="00AB41D5"/>
    <w:rsid w:val="00AB6309"/>
    <w:rsid w:val="00AB6C5F"/>
    <w:rsid w:val="00AB7129"/>
    <w:rsid w:val="00AB742C"/>
    <w:rsid w:val="00AC27A6"/>
    <w:rsid w:val="00AC30F7"/>
    <w:rsid w:val="00AC3A5A"/>
    <w:rsid w:val="00AC4D95"/>
    <w:rsid w:val="00AC5DF4"/>
    <w:rsid w:val="00AD0AEF"/>
    <w:rsid w:val="00AD11B7"/>
    <w:rsid w:val="00AD1A94"/>
    <w:rsid w:val="00AD1C05"/>
    <w:rsid w:val="00AD22CB"/>
    <w:rsid w:val="00AD4126"/>
    <w:rsid w:val="00AD421C"/>
    <w:rsid w:val="00AD44FA"/>
    <w:rsid w:val="00AD6CF4"/>
    <w:rsid w:val="00AE070A"/>
    <w:rsid w:val="00AE101C"/>
    <w:rsid w:val="00AE37E5"/>
    <w:rsid w:val="00AE5EB4"/>
    <w:rsid w:val="00AF0C18"/>
    <w:rsid w:val="00AF47C5"/>
    <w:rsid w:val="00AF5398"/>
    <w:rsid w:val="00B0019A"/>
    <w:rsid w:val="00B049AF"/>
    <w:rsid w:val="00B07242"/>
    <w:rsid w:val="00B10534"/>
    <w:rsid w:val="00B113DB"/>
    <w:rsid w:val="00B11D8A"/>
    <w:rsid w:val="00B12981"/>
    <w:rsid w:val="00B147DD"/>
    <w:rsid w:val="00B156FD"/>
    <w:rsid w:val="00B21F61"/>
    <w:rsid w:val="00B24F32"/>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F43"/>
    <w:rsid w:val="00B52120"/>
    <w:rsid w:val="00B54ABC"/>
    <w:rsid w:val="00B54DDE"/>
    <w:rsid w:val="00B56FBE"/>
    <w:rsid w:val="00B60ACF"/>
    <w:rsid w:val="00B62B58"/>
    <w:rsid w:val="00B65149"/>
    <w:rsid w:val="00B65C9C"/>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CFF"/>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0C9"/>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4CAD"/>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6505"/>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2C87"/>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53B5"/>
    <w:rsid w:val="00E502C1"/>
    <w:rsid w:val="00E502DD"/>
    <w:rsid w:val="00E50D3A"/>
    <w:rsid w:val="00E51387"/>
    <w:rsid w:val="00E51E68"/>
    <w:rsid w:val="00E52EFD"/>
    <w:rsid w:val="00E5408A"/>
    <w:rsid w:val="00E56800"/>
    <w:rsid w:val="00E605B1"/>
    <w:rsid w:val="00E60C63"/>
    <w:rsid w:val="00E62FF9"/>
    <w:rsid w:val="00E635D6"/>
    <w:rsid w:val="00E639BC"/>
    <w:rsid w:val="00E664CC"/>
    <w:rsid w:val="00E70388"/>
    <w:rsid w:val="00E70F92"/>
    <w:rsid w:val="00E74C54"/>
    <w:rsid w:val="00E77A03"/>
    <w:rsid w:val="00E822E8"/>
    <w:rsid w:val="00E82554"/>
    <w:rsid w:val="00E82606"/>
    <w:rsid w:val="00E835E9"/>
    <w:rsid w:val="00E846C8"/>
    <w:rsid w:val="00E84957"/>
    <w:rsid w:val="00E84A55"/>
    <w:rsid w:val="00E85BFF"/>
    <w:rsid w:val="00E87BBD"/>
    <w:rsid w:val="00E90391"/>
    <w:rsid w:val="00E906C2"/>
    <w:rsid w:val="00E9311F"/>
    <w:rsid w:val="00E934D1"/>
    <w:rsid w:val="00E93884"/>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492"/>
    <w:rsid w:val="00EC5359"/>
    <w:rsid w:val="00EC562A"/>
    <w:rsid w:val="00ED067A"/>
    <w:rsid w:val="00ED2B50"/>
    <w:rsid w:val="00EE0350"/>
    <w:rsid w:val="00EE0719"/>
    <w:rsid w:val="00EE0E80"/>
    <w:rsid w:val="00EE54A6"/>
    <w:rsid w:val="00EE613F"/>
    <w:rsid w:val="00EE7295"/>
    <w:rsid w:val="00EE7869"/>
    <w:rsid w:val="00EF054A"/>
    <w:rsid w:val="00EF3235"/>
    <w:rsid w:val="00EF758F"/>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B3B"/>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7C07"/>
    <w:rsid w:val="00FD00E6"/>
    <w:rsid w:val="00FD09A1"/>
    <w:rsid w:val="00FD2A7C"/>
    <w:rsid w:val="00FD59EB"/>
    <w:rsid w:val="00FD7299"/>
    <w:rsid w:val="00FE1FBE"/>
    <w:rsid w:val="00FE22BD"/>
    <w:rsid w:val="00FE3901"/>
    <w:rsid w:val="00FE39D3"/>
    <w:rsid w:val="00FE4BCE"/>
    <w:rsid w:val="00FE54AE"/>
    <w:rsid w:val="00FE576A"/>
    <w:rsid w:val="00FE7E79"/>
    <w:rsid w:val="00FF3E7D"/>
    <w:rsid w:val="00FF5B99"/>
    <w:rsid w:val="00FF730C"/>
    <w:rsid w:val="00FF73F4"/>
    <w:rsid w:val="00FF7CE4"/>
    <w:rsid w:val="00FF7E39"/>
    <w:rsid w:val="121224A5"/>
    <w:rsid w:val="25FC22F6"/>
    <w:rsid w:val="406B0682"/>
    <w:rsid w:val="455B40D6"/>
    <w:rsid w:val="50835338"/>
    <w:rsid w:val="55F52ACD"/>
    <w:rsid w:val="72DB3CCB"/>
    <w:rsid w:val="73297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2"/>
    <w:semiHidden/>
    <w:unhideWhenUsed/>
    <w:qFormat/>
    <w:uiPriority w:val="99"/>
    <w:rPr>
      <w:rFonts w:ascii="宋体"/>
      <w:sz w:val="18"/>
      <w:szCs w:val="18"/>
    </w:r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rFonts w:ascii="Times New Roman" w:hAnsi="Times New Roman" w:eastAsia="宋体" w:cs="Times New Roman"/>
      <w:b/>
      <w:bCs/>
      <w:kern w:val="44"/>
      <w:sz w:val="44"/>
      <w:szCs w:val="44"/>
    </w:rPr>
  </w:style>
  <w:style w:type="character" w:customStyle="1" w:styleId="37">
    <w:name w:val="标题 2 Char"/>
    <w:link w:val="3"/>
    <w:qFormat/>
    <w:uiPriority w:val="0"/>
    <w:rPr>
      <w:rFonts w:ascii="Arial" w:hAnsi="Arial" w:eastAsia="黑体" w:cs="Times New Roman"/>
      <w:b/>
      <w:bCs/>
      <w:sz w:val="32"/>
      <w:szCs w:val="32"/>
    </w:rPr>
  </w:style>
  <w:style w:type="character" w:customStyle="1" w:styleId="38">
    <w:name w:val="标题 3 Char"/>
    <w:link w:val="4"/>
    <w:qFormat/>
    <w:uiPriority w:val="0"/>
    <w:rPr>
      <w:rFonts w:ascii="Times New Roman" w:hAnsi="Times New Roman" w:eastAsia="宋体" w:cs="Times New Roman"/>
      <w:b/>
      <w:bCs/>
      <w:sz w:val="32"/>
      <w:szCs w:val="32"/>
    </w:rPr>
  </w:style>
  <w:style w:type="character" w:customStyle="1" w:styleId="39">
    <w:name w:val="标题 4 Char"/>
    <w:link w:val="5"/>
    <w:qFormat/>
    <w:uiPriority w:val="0"/>
    <w:rPr>
      <w:rFonts w:ascii="Arial" w:hAnsi="Arial" w:eastAsia="黑体" w:cs="Times New Roman"/>
      <w:b/>
      <w:bCs/>
      <w:sz w:val="28"/>
      <w:szCs w:val="28"/>
    </w:rPr>
  </w:style>
  <w:style w:type="character" w:customStyle="1" w:styleId="40">
    <w:name w:val="标题 5 Char"/>
    <w:link w:val="6"/>
    <w:qFormat/>
    <w:uiPriority w:val="0"/>
    <w:rPr>
      <w:rFonts w:ascii="Times New Roman" w:hAnsi="Times New Roman" w:eastAsia="宋体" w:cs="Times New Roman"/>
      <w:b/>
      <w:bCs/>
      <w:sz w:val="28"/>
      <w:szCs w:val="28"/>
    </w:rPr>
  </w:style>
  <w:style w:type="character" w:customStyle="1" w:styleId="41">
    <w:name w:val="标题 6 Char"/>
    <w:link w:val="7"/>
    <w:qFormat/>
    <w:uiPriority w:val="0"/>
    <w:rPr>
      <w:rFonts w:ascii="Arial" w:hAnsi="Arial" w:eastAsia="黑体" w:cs="Times New Roman"/>
      <w:b/>
      <w:bCs/>
      <w:sz w:val="24"/>
      <w:szCs w:val="24"/>
    </w:rPr>
  </w:style>
  <w:style w:type="character" w:customStyle="1" w:styleId="42">
    <w:name w:val="标题 7 Char"/>
    <w:link w:val="8"/>
    <w:qFormat/>
    <w:uiPriority w:val="0"/>
    <w:rPr>
      <w:rFonts w:ascii="Times New Roman" w:hAnsi="Times New Roman" w:eastAsia="宋体" w:cs="Times New Roman"/>
      <w:b/>
      <w:bCs/>
      <w:sz w:val="24"/>
      <w:szCs w:val="24"/>
    </w:rPr>
  </w:style>
  <w:style w:type="character" w:customStyle="1" w:styleId="43">
    <w:name w:val="标题 8 Char"/>
    <w:link w:val="9"/>
    <w:qFormat/>
    <w:uiPriority w:val="0"/>
    <w:rPr>
      <w:rFonts w:ascii="Arial" w:hAnsi="Arial" w:eastAsia="黑体" w:cs="Times New Roman"/>
      <w:sz w:val="24"/>
      <w:szCs w:val="24"/>
    </w:rPr>
  </w:style>
  <w:style w:type="character" w:customStyle="1" w:styleId="44">
    <w:name w:val="标题 9 Char"/>
    <w:link w:val="10"/>
    <w:qFormat/>
    <w:uiPriority w:val="0"/>
    <w:rPr>
      <w:rFonts w:ascii="Arial" w:hAnsi="Arial" w:eastAsia="黑体" w:cs="Times New Roman"/>
      <w:szCs w:val="21"/>
    </w:rPr>
  </w:style>
  <w:style w:type="character" w:customStyle="1" w:styleId="45">
    <w:name w:val="页眉 Char"/>
    <w:link w:val="19"/>
    <w:qFormat/>
    <w:uiPriority w:val="99"/>
    <w:rPr>
      <w:rFonts w:ascii="Times New Roman" w:hAnsi="Times New Roman" w:eastAsia="宋体" w:cs="Times New Roman"/>
      <w:sz w:val="18"/>
      <w:szCs w:val="18"/>
    </w:rPr>
  </w:style>
  <w:style w:type="character" w:customStyle="1" w:styleId="46">
    <w:name w:val="页脚 Char"/>
    <w:link w:val="18"/>
    <w:qFormat/>
    <w:uiPriority w:val="99"/>
    <w:rPr>
      <w:rFonts w:ascii="宋体" w:hAnsi="Times New Roman" w:eastAsia="宋体" w:cs="Times New Roman"/>
      <w:sz w:val="18"/>
      <w:szCs w:val="18"/>
    </w:rPr>
  </w:style>
  <w:style w:type="character" w:customStyle="1" w:styleId="47">
    <w:name w:val="批注框文本 Char"/>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rPr>
  </w:style>
  <w:style w:type="character" w:customStyle="1" w:styleId="50">
    <w:name w:val="标题 Char"/>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next w:val="58"/>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文档结构图 Char"/>
    <w:basedOn w:val="30"/>
    <w:link w:val="1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8B981E2BC34BA1AF2AF550D7DD1865"/>
        <w:style w:val=""/>
        <w:category>
          <w:name w:val="常规"/>
          <w:gallery w:val="placeholder"/>
        </w:category>
        <w:types>
          <w:type w:val="bbPlcHdr"/>
        </w:types>
        <w:behaviors>
          <w:behavior w:val="content"/>
        </w:behaviors>
        <w:description w:val=""/>
        <w:guid w:val="{3EA2F4C9-F6A0-427B-A9D2-B5BF2FDB7F06}"/>
      </w:docPartPr>
      <w:docPartBody>
        <w:p w14:paraId="6CFDD8F3">
          <w:pPr>
            <w:pStyle w:val="5"/>
          </w:pPr>
          <w:r>
            <w:rPr>
              <w:rStyle w:val="4"/>
              <w:rFonts w:hint="eastAsia"/>
            </w:rPr>
            <w:t>单击或点击此处输入文字。</w:t>
          </w:r>
        </w:p>
      </w:docPartBody>
    </w:docPart>
    <w:docPart>
      <w:docPartPr>
        <w:name w:val="E73E9D20E32B41279CE5C77410F33F75"/>
        <w:style w:val=""/>
        <w:category>
          <w:name w:val="常规"/>
          <w:gallery w:val="placeholder"/>
        </w:category>
        <w:types>
          <w:type w:val="bbPlcHdr"/>
        </w:types>
        <w:behaviors>
          <w:behavior w:val="content"/>
        </w:behaviors>
        <w:description w:val=""/>
        <w:guid w:val="{9674B4C1-77E8-44D2-AB44-CFD45CFD30E4}"/>
      </w:docPartPr>
      <w:docPartBody>
        <w:p w14:paraId="6D07E848">
          <w:pPr>
            <w:pStyle w:val="6"/>
          </w:pPr>
          <w:r>
            <w:rPr>
              <w:rStyle w:val="4"/>
              <w:rFonts w:hint="eastAsia"/>
            </w:rPr>
            <w:t>选择一项。</w:t>
          </w:r>
        </w:p>
      </w:docPartBody>
    </w:docPart>
    <w:docPart>
      <w:docPartPr>
        <w:name w:val="7303460BFAF24675906FA3304E47E4B2"/>
        <w:style w:val=""/>
        <w:category>
          <w:name w:val="常规"/>
          <w:gallery w:val="placeholder"/>
        </w:category>
        <w:types>
          <w:type w:val="bbPlcHdr"/>
        </w:types>
        <w:behaviors>
          <w:behavior w:val="content"/>
        </w:behaviors>
        <w:description w:val=""/>
        <w:guid w:val="{2271A49E-C5EA-45D3-8202-3B198A8B4208}"/>
      </w:docPartPr>
      <w:docPartBody>
        <w:p w14:paraId="5B81C5B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5D9E"/>
    <w:rsid w:val="00592E50"/>
    <w:rsid w:val="007A1528"/>
    <w:rsid w:val="009A0E99"/>
    <w:rsid w:val="00D95D9E"/>
    <w:rsid w:val="00DB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68B981E2BC34BA1AF2AF550D7DD18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3E9D20E32B41279CE5C77410F33F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303460BFAF24675906FA3304E47E4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12</Pages>
  <Words>4991</Words>
  <Characters>5227</Characters>
  <Lines>57</Lines>
  <Paragraphs>16</Paragraphs>
  <TotalTime>9</TotalTime>
  <ScaleCrop>false</ScaleCrop>
  <LinksUpToDate>false</LinksUpToDate>
  <CharactersWithSpaces>5284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2024-08-30T01:19:00Z</dcterms:created>
  <dc:creator>PC</dc:creator>
  <dc:description>&lt;config cover="true" show_menu="true" version="1.0.0" doctype="SDKXY"&gt;_x000d_
&lt;/config&gt;</dc:description>
  <cp:lastModifiedBy>朱智荣</cp:lastModifiedBy>
  <cp:lastPrinted>2020-08-30T10:00:00Z</cp:lastPrinted>
  <dcterms:modified xsi:type="dcterms:W3CDTF">2024-12-30T01:16:23Z</dcterms:modified>
  <dc:title>地方标准</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538E9DA2631C41028B9ABD8F201285E7_12</vt:lpwstr>
  </property>
  <property fmtid="{D5CDD505-2E9C-101B-9397-08002B2CF9AE}" pid="16" name="KSOTemplateDocerSaveRecord">
    <vt:lpwstr>eyJoZGlkIjoiNzg0MzA4ZDY0NWQ1NjE4YTA0OWMwYzdjZDE1YzljMzMiLCJ1c2VySWQiOiI2NzE4MTY2MDcifQ==</vt:lpwstr>
  </property>
</Properties>
</file>