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D8D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6E580E">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2C0CE2FA">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w:t>
            </w:r>
            <w:r>
              <w:rPr>
                <w:rFonts w:ascii="黑体" w:hAnsi="黑体" w:eastAsia="黑体"/>
                <w:sz w:val="21"/>
                <w:szCs w:val="21"/>
              </w:rPr>
              <w:fldChar w:fldCharType="end"/>
            </w:r>
            <w:bookmarkEnd w:id="0"/>
          </w:p>
        </w:tc>
      </w:tr>
      <w:tr w14:paraId="6C0F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95475E">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56C7B43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A12</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B31F3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2516B74">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7FA7C781">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EAB15E5">
      <w:pPr>
        <w:pStyle w:val="196"/>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rPr>
          <w:rFonts w:hint="eastAsia"/>
          <w:lang w:val="fr-FR"/>
        </w:rPr>
        <w:t xml:space="preserve"> </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9E17AA4">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C6DDFA9">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2C075577">
      <w:pPr>
        <w:pStyle w:val="51"/>
        <w:framePr w:w="9639" w:h="6976" w:hRule="exact" w:hSpace="0" w:vSpace="0" w:wrap="around" w:hAnchor="page" w:y="6408"/>
        <w:jc w:val="center"/>
        <w:rPr>
          <w:rFonts w:ascii="黑体" w:hAnsi="黑体" w:eastAsia="黑体"/>
          <w:b w:val="0"/>
          <w:bCs w:val="0"/>
          <w:w w:val="100"/>
        </w:rPr>
      </w:pPr>
    </w:p>
    <w:p w14:paraId="740A7FC6">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学校食堂管理规范</w:t>
      </w:r>
      <w:r>
        <w:fldChar w:fldCharType="end"/>
      </w:r>
      <w:bookmarkEnd w:id="9"/>
    </w:p>
    <w:p w14:paraId="2654B8F4">
      <w:pPr>
        <w:framePr w:w="9639" w:h="6974" w:hRule="exact" w:wrap="around" w:vAnchor="page" w:hAnchor="page" w:x="1419" w:y="6408" w:anchorLock="1"/>
        <w:ind w:left="-1418"/>
      </w:pPr>
    </w:p>
    <w:p w14:paraId="3BB7E136">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M</w:t>
      </w:r>
      <w:r>
        <w:rPr>
          <w:rFonts w:eastAsia="黑体"/>
          <w:szCs w:val="28"/>
        </w:rPr>
        <w:t>anagement</w:t>
      </w:r>
      <w:r>
        <w:rPr>
          <w:rFonts w:hint="eastAsia" w:eastAsia="黑体"/>
          <w:szCs w:val="28"/>
        </w:rPr>
        <w:t xml:space="preserve"> specification for </w:t>
      </w:r>
      <w:r>
        <w:rPr>
          <w:rFonts w:eastAsia="黑体"/>
          <w:szCs w:val="28"/>
        </w:rPr>
        <w:t>school canteen</w:t>
      </w:r>
      <w:r>
        <w:rPr>
          <w:rFonts w:hint="eastAsia" w:eastAsia="黑体"/>
          <w:szCs w:val="28"/>
        </w:rPr>
        <w:t xml:space="preserve"> </w:t>
      </w:r>
      <w:r>
        <w:rPr>
          <w:rFonts w:eastAsia="黑体"/>
          <w:szCs w:val="28"/>
        </w:rPr>
        <w:fldChar w:fldCharType="end"/>
      </w:r>
      <w:bookmarkEnd w:id="10"/>
    </w:p>
    <w:p w14:paraId="6FE0C343">
      <w:pPr>
        <w:framePr w:w="9639" w:h="6974" w:hRule="exact" w:wrap="around" w:vAnchor="page" w:hAnchor="page" w:x="1419" w:y="6408" w:anchorLock="1"/>
        <w:spacing w:line="760" w:lineRule="exact"/>
        <w:ind w:left="-1418"/>
      </w:pPr>
    </w:p>
    <w:p w14:paraId="412B1CDD">
      <w:pPr>
        <w:pStyle w:val="126"/>
        <w:framePr w:w="9639" w:h="6974" w:hRule="exact" w:wrap="around" w:vAnchor="page" w:hAnchor="page" w:x="1419" w:y="6408" w:anchorLock="1"/>
        <w:textAlignment w:val="bottom"/>
        <w:rPr>
          <w:rFonts w:eastAsia="黑体"/>
          <w:szCs w:val="28"/>
        </w:rPr>
      </w:pPr>
    </w:p>
    <w:p w14:paraId="0C3DB5DF">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F9C89E9">
      <w:pPr>
        <w:pStyle w:val="126"/>
        <w:framePr w:w="9639" w:h="6974" w:hRule="exact" w:wrap="around" w:vAnchor="page" w:hAnchor="page" w:x="1419" w:y="6408" w:anchorLock="1"/>
        <w:spacing w:before="180" w:line="240" w:lineRule="atLeast"/>
        <w:textAlignment w:val="bottom"/>
        <w:rPr>
          <w:sz w:val="21"/>
          <w:szCs w:val="28"/>
        </w:rPr>
      </w:pPr>
    </w:p>
    <w:p w14:paraId="5D39BA3B">
      <w:pPr>
        <w:pStyle w:val="126"/>
        <w:framePr w:w="9639" w:h="6974" w:hRule="exact" w:wrap="around" w:vAnchor="page" w:hAnchor="page" w:x="1419" w:y="6408" w:anchorLock="1"/>
        <w:spacing w:beforeLines="300" w:afterLines="30" w:line="240" w:lineRule="auto"/>
        <w:textAlignment w:val="bottom"/>
        <w:rPr>
          <w:b/>
          <w:sz w:val="21"/>
          <w:szCs w:val="28"/>
        </w:rPr>
      </w:pPr>
    </w:p>
    <w:p w14:paraId="308B64B5">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7EB82DE6">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2984AAF1">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15F10B8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14:paraId="70280C45">
      <w:pPr>
        <w:pStyle w:val="92"/>
        <w:spacing w:after="468"/>
      </w:pPr>
      <w:bookmarkStart w:id="19" w:name="BookMark1"/>
      <w:r>
        <w:rPr>
          <w:rFonts w:hint="eastAsia"/>
          <w:spacing w:val="320"/>
        </w:rPr>
        <w:t>目</w:t>
      </w:r>
      <w:r>
        <w:rPr>
          <w:rFonts w:hint="eastAsia"/>
        </w:rPr>
        <w:t>次</w:t>
      </w:r>
    </w:p>
    <w:p w14:paraId="56B7727A">
      <w:pPr>
        <w:pStyle w:val="20"/>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w:instrText>
      </w:r>
      <w:r>
        <w:instrText xml:space="preserve"> </w:instrText>
      </w:r>
      <w:r>
        <w:fldChar w:fldCharType="separate"/>
      </w:r>
      <w:r>
        <w:fldChar w:fldCharType="begin"/>
      </w:r>
      <w:r>
        <w:instrText xml:space="preserve"> HYPERLINK \l "_Toc155701213" </w:instrText>
      </w:r>
      <w:r>
        <w:fldChar w:fldCharType="separate"/>
      </w:r>
      <w:r>
        <w:rPr>
          <w:rStyle w:val="33"/>
          <w:rFonts w:hint="eastAsia"/>
        </w:rPr>
        <w:t>前言</w:t>
      </w:r>
      <w:r>
        <w:tab/>
      </w:r>
      <w:r>
        <w:fldChar w:fldCharType="begin"/>
      </w:r>
      <w:r>
        <w:instrText xml:space="preserve"> PAGEREF _Toc155701213 \h </w:instrText>
      </w:r>
      <w:r>
        <w:fldChar w:fldCharType="separate"/>
      </w:r>
      <w:r>
        <w:t>II</w:t>
      </w:r>
      <w:r>
        <w:fldChar w:fldCharType="end"/>
      </w:r>
      <w:r>
        <w:fldChar w:fldCharType="end"/>
      </w:r>
    </w:p>
    <w:p w14:paraId="4440010A">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"_Toc155701214" </w:instrText>
      </w:r>
      <w:r>
        <w:fldChar w:fldCharType="separate"/>
      </w:r>
      <w:r>
        <w:rPr>
          <w:rStyle w:val="33"/>
        </w:rPr>
        <w:t xml:space="preserve">1 </w:t>
      </w:r>
      <w:r>
        <w:rPr>
          <w:rStyle w:val="33"/>
          <w:rFonts w:hint="eastAsia"/>
        </w:rPr>
        <w:t xml:space="preserve"> 范围</w:t>
      </w:r>
      <w:r>
        <w:tab/>
      </w:r>
      <w:r>
        <w:fldChar w:fldCharType="begin"/>
      </w:r>
      <w:r>
        <w:instrText xml:space="preserve"> PAGEREF _Toc155701214 \h </w:instrText>
      </w:r>
      <w:r>
        <w:fldChar w:fldCharType="separate"/>
      </w:r>
      <w:r>
        <w:t>1</w:t>
      </w:r>
      <w:r>
        <w:fldChar w:fldCharType="end"/>
      </w:r>
      <w:r>
        <w:fldChar w:fldCharType="end"/>
      </w:r>
    </w:p>
    <w:p w14:paraId="3E0D9405">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"_Toc155701215"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_Toc155701215 \h </w:instrText>
      </w:r>
      <w:r>
        <w:fldChar w:fldCharType="separate"/>
      </w:r>
      <w:r>
        <w:t>1</w:t>
      </w:r>
      <w:r>
        <w:fldChar w:fldCharType="end"/>
      </w:r>
      <w:r>
        <w:fldChar w:fldCharType="end"/>
      </w:r>
    </w:p>
    <w:p w14:paraId="5DB6B9ED">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"_Toc155701216"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_Toc155701216 \h </w:instrText>
      </w:r>
      <w:r>
        <w:fldChar w:fldCharType="separate"/>
      </w:r>
      <w:r>
        <w:t>1</w:t>
      </w:r>
      <w:r>
        <w:fldChar w:fldCharType="end"/>
      </w:r>
      <w:r>
        <w:fldChar w:fldCharType="end"/>
      </w:r>
    </w:p>
    <w:p w14:paraId="16EB9362">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"_Toc155701217" </w:instrText>
      </w:r>
      <w:r>
        <w:fldChar w:fldCharType="separate"/>
      </w:r>
      <w:r>
        <w:rPr>
          <w:rStyle w:val="33"/>
        </w:rPr>
        <w:t xml:space="preserve">4 </w:t>
      </w:r>
      <w:r>
        <w:rPr>
          <w:rStyle w:val="33"/>
          <w:rFonts w:hint="eastAsia"/>
        </w:rPr>
        <w:t xml:space="preserve"> 组织管理</w:t>
      </w:r>
      <w:r>
        <w:tab/>
      </w:r>
      <w:r>
        <w:fldChar w:fldCharType="begin"/>
      </w:r>
      <w:r>
        <w:instrText xml:space="preserve"> PAGEREF _Toc155701217 \h </w:instrText>
      </w:r>
      <w:r>
        <w:fldChar w:fldCharType="separate"/>
      </w:r>
      <w:r>
        <w:t>4</w:t>
      </w:r>
      <w:r>
        <w:fldChar w:fldCharType="end"/>
      </w:r>
      <w:r>
        <w:fldChar w:fldCharType="end"/>
      </w:r>
    </w:p>
    <w:p w14:paraId="2C94B2D6">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"_Toc155701218" </w:instrText>
      </w:r>
      <w:r>
        <w:fldChar w:fldCharType="separate"/>
      </w:r>
      <w:r>
        <w:rPr>
          <w:rStyle w:val="33"/>
        </w:rPr>
        <w:t xml:space="preserve">5 </w:t>
      </w:r>
      <w:r>
        <w:rPr>
          <w:rStyle w:val="33"/>
          <w:rFonts w:hint="eastAsia"/>
        </w:rPr>
        <w:t xml:space="preserve"> 主体责任</w:t>
      </w:r>
      <w:r>
        <w:tab/>
      </w:r>
      <w:r>
        <w:fldChar w:fldCharType="begin"/>
      </w:r>
      <w:r>
        <w:instrText xml:space="preserve"> PAGEREF _Toc155701218 \h </w:instrText>
      </w:r>
      <w:r>
        <w:fldChar w:fldCharType="separate"/>
      </w:r>
      <w:r>
        <w:t>5</w:t>
      </w:r>
      <w:r>
        <w:fldChar w:fldCharType="end"/>
      </w:r>
      <w:r>
        <w:fldChar w:fldCharType="end"/>
      </w:r>
    </w:p>
    <w:p w14:paraId="098D5543">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"_Toc155701219" </w:instrText>
      </w:r>
      <w:r>
        <w:fldChar w:fldCharType="separate"/>
      </w:r>
      <w:r>
        <w:rPr>
          <w:rStyle w:val="33"/>
        </w:rPr>
        <w:t xml:space="preserve">6 </w:t>
      </w:r>
      <w:r>
        <w:rPr>
          <w:rStyle w:val="33"/>
          <w:rFonts w:hint="eastAsia"/>
        </w:rPr>
        <w:t xml:space="preserve"> 经营管理</w:t>
      </w:r>
      <w:r>
        <w:tab/>
      </w:r>
      <w:r>
        <w:fldChar w:fldCharType="begin"/>
      </w:r>
      <w:r>
        <w:instrText xml:space="preserve"> PAGEREF _Toc155701219 \h </w:instrText>
      </w:r>
      <w:r>
        <w:fldChar w:fldCharType="separate"/>
      </w:r>
      <w:r>
        <w:t>6</w:t>
      </w:r>
      <w:r>
        <w:fldChar w:fldCharType="end"/>
      </w:r>
      <w:r>
        <w:fldChar w:fldCharType="end"/>
      </w:r>
    </w:p>
    <w:p w14:paraId="599AC272">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"_Toc155701221" </w:instrText>
      </w:r>
      <w:r>
        <w:fldChar w:fldCharType="separate"/>
      </w:r>
      <w:r>
        <w:rPr>
          <w:rStyle w:val="33"/>
          <w:rFonts w:hint="eastAsia"/>
        </w:rPr>
        <w:t>7 设施设备</w:t>
      </w:r>
      <w:r>
        <w:tab/>
      </w:r>
      <w:r>
        <w:fldChar w:fldCharType="begin"/>
      </w:r>
      <w:r>
        <w:instrText xml:space="preserve"> PAGEREF _Toc155701221 \h </w:instrText>
      </w:r>
      <w:r>
        <w:fldChar w:fldCharType="separate"/>
      </w:r>
      <w:r>
        <w:t>8</w:t>
      </w:r>
      <w:r>
        <w:fldChar w:fldCharType="end"/>
      </w:r>
      <w:r>
        <w:fldChar w:fldCharType="end"/>
      </w:r>
    </w:p>
    <w:p w14:paraId="06155BE6">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"_Toc155701222" </w:instrText>
      </w:r>
      <w:r>
        <w:fldChar w:fldCharType="separate"/>
      </w:r>
      <w:r>
        <w:rPr>
          <w:rStyle w:val="33"/>
          <w:rFonts w:hint="eastAsia"/>
        </w:rPr>
        <w:t>8</w:t>
      </w:r>
      <w:r>
        <w:rPr>
          <w:rStyle w:val="33"/>
        </w:rPr>
        <w:t xml:space="preserve"> </w:t>
      </w:r>
      <w:r>
        <w:rPr>
          <w:rStyle w:val="33"/>
          <w:rFonts w:hint="eastAsia"/>
        </w:rPr>
        <w:t xml:space="preserve"> 病媒生物防制</w:t>
      </w:r>
      <w:r>
        <w:tab/>
      </w:r>
      <w:r>
        <w:fldChar w:fldCharType="begin"/>
      </w:r>
      <w:r>
        <w:instrText xml:space="preserve"> PAGEREF _Toc155701222 \h </w:instrText>
      </w:r>
      <w:r>
        <w:fldChar w:fldCharType="separate"/>
      </w:r>
      <w:r>
        <w:t>9</w:t>
      </w:r>
      <w:r>
        <w:fldChar w:fldCharType="end"/>
      </w:r>
      <w:r>
        <w:fldChar w:fldCharType="end"/>
      </w:r>
    </w:p>
    <w:p w14:paraId="27C3C7E0">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"_Toc155701223" </w:instrText>
      </w:r>
      <w:r>
        <w:fldChar w:fldCharType="separate"/>
      </w:r>
      <w:r>
        <w:rPr>
          <w:rStyle w:val="33"/>
          <w:rFonts w:hint="eastAsia"/>
        </w:rPr>
        <w:t>9</w:t>
      </w:r>
      <w:r>
        <w:rPr>
          <w:rStyle w:val="33"/>
        </w:rPr>
        <w:t xml:space="preserve"> </w:t>
      </w:r>
      <w:r>
        <w:rPr>
          <w:rStyle w:val="33"/>
          <w:rFonts w:hint="eastAsia"/>
        </w:rPr>
        <w:t xml:space="preserve"> 人员管理</w:t>
      </w:r>
      <w:r>
        <w:tab/>
      </w:r>
      <w:r>
        <w:fldChar w:fldCharType="begin"/>
      </w:r>
      <w:r>
        <w:instrText xml:space="preserve"> PAGEREF _Toc155701223 \h </w:instrText>
      </w:r>
      <w:r>
        <w:fldChar w:fldCharType="separate"/>
      </w:r>
      <w:r>
        <w:t>10</w:t>
      </w:r>
      <w:r>
        <w:fldChar w:fldCharType="end"/>
      </w:r>
      <w:r>
        <w:fldChar w:fldCharType="end"/>
      </w:r>
    </w:p>
    <w:p w14:paraId="001F33B4">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"_Toc155701224" </w:instrText>
      </w:r>
      <w:r>
        <w:fldChar w:fldCharType="separate"/>
      </w:r>
      <w:r>
        <w:rPr>
          <w:rStyle w:val="33"/>
          <w:rFonts w:hint="eastAsia"/>
        </w:rPr>
        <w:t>10</w:t>
      </w:r>
      <w:r>
        <w:rPr>
          <w:rStyle w:val="33"/>
        </w:rPr>
        <w:t xml:space="preserve"> </w:t>
      </w:r>
      <w:r>
        <w:rPr>
          <w:rStyle w:val="33"/>
          <w:rFonts w:hint="eastAsia"/>
        </w:rPr>
        <w:t xml:space="preserve"> 过程控制</w:t>
      </w:r>
      <w:r>
        <w:tab/>
      </w:r>
      <w:r>
        <w:fldChar w:fldCharType="begin"/>
      </w:r>
      <w:r>
        <w:instrText xml:space="preserve"> PAGEREF _Toc155701224 \h </w:instrText>
      </w:r>
      <w:r>
        <w:fldChar w:fldCharType="separate"/>
      </w:r>
      <w:r>
        <w:t>11</w:t>
      </w:r>
      <w:r>
        <w:fldChar w:fldCharType="end"/>
      </w:r>
      <w:r>
        <w:fldChar w:fldCharType="end"/>
      </w:r>
    </w:p>
    <w:p w14:paraId="68E8EFA9">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"_Toc155701225" </w:instrText>
      </w:r>
      <w:r>
        <w:fldChar w:fldCharType="separate"/>
      </w:r>
      <w:r>
        <w:rPr>
          <w:rStyle w:val="33"/>
          <w:rFonts w:hint="eastAsia"/>
        </w:rPr>
        <w:t>11</w:t>
      </w:r>
      <w:r>
        <w:rPr>
          <w:rStyle w:val="33"/>
        </w:rPr>
        <w:t xml:space="preserve"> </w:t>
      </w:r>
      <w:r>
        <w:rPr>
          <w:rStyle w:val="33"/>
          <w:rFonts w:hint="eastAsia"/>
        </w:rPr>
        <w:t xml:space="preserve"> 信息报告</w:t>
      </w:r>
      <w:r>
        <w:tab/>
      </w:r>
      <w:r>
        <w:fldChar w:fldCharType="begin"/>
      </w:r>
      <w:r>
        <w:instrText xml:space="preserve"> PAGEREF _Toc155701225 \h </w:instrText>
      </w:r>
      <w:r>
        <w:fldChar w:fldCharType="separate"/>
      </w:r>
      <w:r>
        <w:t>13</w:t>
      </w:r>
      <w:r>
        <w:fldChar w:fldCharType="end"/>
      </w:r>
      <w:r>
        <w:fldChar w:fldCharType="end"/>
      </w:r>
    </w:p>
    <w:p w14:paraId="3AFBD0FD">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"_Toc155701226" </w:instrText>
      </w:r>
      <w:r>
        <w:fldChar w:fldCharType="separate"/>
      </w:r>
      <w:r>
        <w:rPr>
          <w:rStyle w:val="33"/>
        </w:rPr>
        <w:t>1</w:t>
      </w:r>
      <w:r>
        <w:rPr>
          <w:rStyle w:val="33"/>
          <w:rFonts w:hint="eastAsia"/>
        </w:rPr>
        <w:t>2</w:t>
      </w:r>
      <w:r>
        <w:rPr>
          <w:rStyle w:val="33"/>
        </w:rPr>
        <w:t xml:space="preserve"> </w:t>
      </w:r>
      <w:r>
        <w:rPr>
          <w:rStyle w:val="33"/>
          <w:rFonts w:hint="eastAsia"/>
        </w:rPr>
        <w:t xml:space="preserve"> 营养管理</w:t>
      </w:r>
      <w:r>
        <w:tab/>
      </w:r>
      <w:r>
        <w:fldChar w:fldCharType="begin"/>
      </w:r>
      <w:r>
        <w:instrText xml:space="preserve"> PAGEREF _Toc155701226 \h </w:instrText>
      </w:r>
      <w:r>
        <w:fldChar w:fldCharType="separate"/>
      </w:r>
      <w:r>
        <w:t>15</w:t>
      </w:r>
      <w:r>
        <w:fldChar w:fldCharType="end"/>
      </w:r>
      <w:r>
        <w:fldChar w:fldCharType="end"/>
      </w:r>
    </w:p>
    <w:p w14:paraId="22579775">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"_Toc155701227" </w:instrText>
      </w:r>
      <w:r>
        <w:fldChar w:fldCharType="separate"/>
      </w:r>
      <w:r>
        <w:rPr>
          <w:rStyle w:val="33"/>
        </w:rPr>
        <w:t>1</w:t>
      </w:r>
      <w:r>
        <w:rPr>
          <w:rStyle w:val="33"/>
          <w:rFonts w:hint="eastAsia"/>
        </w:rPr>
        <w:t>3</w:t>
      </w:r>
      <w:r>
        <w:rPr>
          <w:rStyle w:val="33"/>
        </w:rPr>
        <w:t xml:space="preserve"> </w:t>
      </w:r>
      <w:r>
        <w:rPr>
          <w:rStyle w:val="33"/>
          <w:rFonts w:hint="eastAsia"/>
        </w:rPr>
        <w:t xml:space="preserve"> 反食品浪费</w:t>
      </w:r>
      <w:r>
        <w:tab/>
      </w:r>
      <w:r>
        <w:fldChar w:fldCharType="begin"/>
      </w:r>
      <w:r>
        <w:instrText xml:space="preserve"> PAGEREF _Toc155701227 \h </w:instrText>
      </w:r>
      <w:r>
        <w:fldChar w:fldCharType="separate"/>
      </w:r>
      <w:r>
        <w:t>15</w:t>
      </w:r>
      <w:r>
        <w:fldChar w:fldCharType="end"/>
      </w:r>
      <w:r>
        <w:fldChar w:fldCharType="end"/>
      </w:r>
    </w:p>
    <w:p w14:paraId="22D7D5A9">
      <w:pPr>
        <w:pStyle w:val="20"/>
        <w:tabs>
          <w:tab w:val="right" w:leader="dot" w:pos="9344"/>
        </w:tabs>
        <w:rPr>
          <w:rFonts w:asciiTheme="minorHAnsi" w:hAnsiTheme="minorHAnsi" w:eastAsiaTheme="minorEastAsia" w:cstheme="minorBidi"/>
          <w:szCs w:val="22"/>
        </w:rPr>
      </w:pPr>
      <w:r>
        <w:fldChar w:fldCharType="begin"/>
      </w:r>
      <w:r>
        <w:instrText xml:space="preserve"> HYPERLINK \l "_Toc155701228" </w:instrText>
      </w:r>
      <w:r>
        <w:fldChar w:fldCharType="separate"/>
      </w:r>
      <w:r>
        <w:rPr>
          <w:rStyle w:val="33"/>
          <w:rFonts w:hint="eastAsia"/>
        </w:rPr>
        <w:t>参考文献</w:t>
      </w:r>
      <w:r>
        <w:tab/>
      </w:r>
      <w:r>
        <w:fldChar w:fldCharType="begin"/>
      </w:r>
      <w:r>
        <w:instrText xml:space="preserve"> PAGEREF _Toc155701228 \h </w:instrText>
      </w:r>
      <w:r>
        <w:fldChar w:fldCharType="separate"/>
      </w:r>
      <w:r>
        <w:t>16</w:t>
      </w:r>
      <w:r>
        <w:fldChar w:fldCharType="end"/>
      </w:r>
      <w:r>
        <w:fldChar w:fldCharType="end"/>
      </w:r>
    </w:p>
    <w:p w14:paraId="51FFEC9C">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7ADF8FF8">
      <w:pPr>
        <w:pStyle w:val="90"/>
        <w:spacing w:after="468"/>
      </w:pPr>
      <w:bookmarkStart w:id="20" w:name="_Toc155701213"/>
      <w:bookmarkStart w:id="21" w:name="BookMark2"/>
      <w:r>
        <w:rPr>
          <w:spacing w:val="320"/>
        </w:rPr>
        <w:t>前</w:t>
      </w:r>
      <w:r>
        <w:t>言</w:t>
      </w:r>
      <w:bookmarkEnd w:id="20"/>
    </w:p>
    <w:p w14:paraId="2D146C32">
      <w:pPr>
        <w:pStyle w:val="57"/>
        <w:ind w:firstLine="420"/>
      </w:pPr>
      <w:r>
        <w:rPr>
          <w:rFonts w:hint="eastAsia"/>
        </w:rPr>
        <w:t>本文件按照GB/T 1.1—2020《标准化工作导则  第1部分：标准化文件的结构和起草规则》的规定起草。</w:t>
      </w:r>
    </w:p>
    <w:p w14:paraId="428BACC0">
      <w:pPr>
        <w:ind w:firstLine="420" w:firstLineChars="200"/>
        <w:rPr>
          <w:rFonts w:asciiTheme="minorEastAsia" w:hAnsiTheme="minorEastAsia"/>
        </w:rPr>
      </w:pPr>
      <w:r>
        <w:rPr>
          <w:rFonts w:hint="eastAsia" w:asciiTheme="minorEastAsia" w:hAnsiTheme="minorEastAsia"/>
        </w:rPr>
        <w:t>请注意本文件的某些内容可能涉及专利。本文件的发布机构不承担识别专利的责任。</w:t>
      </w:r>
    </w:p>
    <w:p w14:paraId="309A0734">
      <w:pPr>
        <w:pStyle w:val="57"/>
        <w:ind w:firstLine="420"/>
      </w:pPr>
      <w:r>
        <w:rPr>
          <w:rFonts w:hint="eastAsia"/>
        </w:rPr>
        <w:t>本文件由南通市市场监督管理局提出并归口。</w:t>
      </w:r>
    </w:p>
    <w:p w14:paraId="2D21503C">
      <w:pPr>
        <w:pStyle w:val="57"/>
        <w:ind w:firstLine="420"/>
      </w:pPr>
      <w:r>
        <w:rPr>
          <w:rFonts w:hint="eastAsia"/>
        </w:rPr>
        <w:t>本文件起草单位：南通市市场监督管理局、南通市教育局、南通市卫生健康委员会</w:t>
      </w:r>
    </w:p>
    <w:p w14:paraId="0B8BC804">
      <w:pPr>
        <w:pStyle w:val="57"/>
        <w:ind w:firstLine="420"/>
      </w:pPr>
      <w:r>
        <w:rPr>
          <w:rFonts w:hint="eastAsia"/>
        </w:rPr>
        <w:t>本文件主要起草人：徐加明、杨立荣、周鸣镝、吴徐明、郁卫丰、丁洋、严洪彬、郭亦城、施晓玲、贾雅</w:t>
      </w:r>
    </w:p>
    <w:p w14:paraId="2F36438E">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1"/>
    <w:p w14:paraId="11D89919">
      <w:pPr>
        <w:spacing w:line="20" w:lineRule="exact"/>
        <w:jc w:val="center"/>
        <w:rPr>
          <w:rFonts w:ascii="黑体" w:hAnsi="黑体" w:eastAsia="黑体"/>
          <w:sz w:val="32"/>
          <w:szCs w:val="32"/>
        </w:rPr>
      </w:pPr>
      <w:bookmarkStart w:id="22" w:name="BookMark4"/>
    </w:p>
    <w:p w14:paraId="6CF592ED">
      <w:pPr>
        <w:spacing w:line="20" w:lineRule="exact"/>
        <w:jc w:val="center"/>
        <w:rPr>
          <w:rFonts w:ascii="黑体" w:hAnsi="黑体" w:eastAsia="黑体"/>
          <w:sz w:val="32"/>
          <w:szCs w:val="32"/>
        </w:rPr>
      </w:pPr>
    </w:p>
    <w:sdt>
      <w:sdtPr>
        <w:tag w:val="NEW_STAND_NAME"/>
        <w:id w:val="595910757"/>
        <w:lock w:val="sdtLocked"/>
        <w:placeholder>
          <w:docPart w:val="E729120C73154078B357F1DE21698166"/>
        </w:placeholder>
      </w:sdtPr>
      <w:sdtContent>
        <w:p w14:paraId="715241DF">
          <w:pPr>
            <w:pStyle w:val="178"/>
            <w:spacing w:beforeLines="1" w:afterLines="220"/>
          </w:pPr>
          <w:bookmarkStart w:id="23" w:name="NEW_STAND_NAME"/>
          <w:r>
            <w:rPr>
              <w:rFonts w:hint="eastAsia"/>
            </w:rPr>
            <w:t>学校食堂管理规范</w:t>
          </w:r>
        </w:p>
      </w:sdtContent>
    </w:sdt>
    <w:bookmarkEnd w:id="23"/>
    <w:p w14:paraId="1E0A60B0">
      <w:pPr>
        <w:pStyle w:val="105"/>
        <w:spacing w:before="312" w:after="312"/>
        <w:rPr>
          <w:rFonts w:ascii="宋体" w:eastAsia="宋体"/>
        </w:rPr>
      </w:pPr>
      <w:bookmarkStart w:id="24" w:name="_Toc26986530"/>
      <w:bookmarkStart w:id="25" w:name="_Toc17233325"/>
      <w:bookmarkStart w:id="26" w:name="_Toc26718930"/>
      <w:bookmarkStart w:id="27" w:name="_Toc24884211"/>
      <w:bookmarkStart w:id="28" w:name="_Toc24884218"/>
      <w:bookmarkStart w:id="29" w:name="_Toc26986771"/>
      <w:bookmarkStart w:id="30" w:name="_Toc17233333"/>
      <w:bookmarkStart w:id="31" w:name="_Toc155701214"/>
      <w:bookmarkStart w:id="32" w:name="_Toc26648465"/>
      <w:r>
        <w:rPr>
          <w:rFonts w:hint="eastAsia" w:ascii="宋体" w:eastAsia="宋体"/>
        </w:rPr>
        <w:t>范围</w:t>
      </w:r>
      <w:bookmarkEnd w:id="24"/>
      <w:bookmarkEnd w:id="25"/>
      <w:bookmarkEnd w:id="26"/>
      <w:bookmarkEnd w:id="27"/>
      <w:bookmarkEnd w:id="28"/>
      <w:bookmarkEnd w:id="29"/>
      <w:bookmarkEnd w:id="30"/>
      <w:bookmarkEnd w:id="31"/>
      <w:bookmarkEnd w:id="32"/>
    </w:p>
    <w:p w14:paraId="338CFF14">
      <w:pPr>
        <w:pStyle w:val="57"/>
        <w:ind w:firstLine="420"/>
      </w:pPr>
      <w:bookmarkStart w:id="33" w:name="_Toc24884212"/>
      <w:bookmarkStart w:id="34" w:name="_Toc24884219"/>
      <w:bookmarkStart w:id="35" w:name="_Toc26648466"/>
      <w:bookmarkStart w:id="36" w:name="_Toc17233334"/>
      <w:bookmarkStart w:id="37" w:name="_Toc17233326"/>
      <w:r>
        <w:rPr>
          <w:rFonts w:hint="eastAsia"/>
        </w:rPr>
        <w:t>本文件规定了学校食堂的组织管理、主体责任、经营管理、设施设备、有害生物防制、人员管理、过程控制、信息报告、营养管理、反食品浪费等要求。</w:t>
      </w:r>
    </w:p>
    <w:p w14:paraId="00158A00">
      <w:pPr>
        <w:pStyle w:val="57"/>
        <w:ind w:firstLine="420"/>
      </w:pPr>
      <w:r>
        <w:rPr>
          <w:rFonts w:hint="eastAsia"/>
        </w:rPr>
        <w:t>本文件适用于南通市范围内幼儿园、小学、初中、高中、大中专院校（含技工学校等）、在通高校以及民办学校等各类学校师生餐饮管理。</w:t>
      </w:r>
    </w:p>
    <w:p w14:paraId="4F350742">
      <w:pPr>
        <w:pStyle w:val="105"/>
        <w:spacing w:before="312" w:after="312"/>
      </w:pPr>
      <w:bookmarkStart w:id="38" w:name="_Toc26718931"/>
      <w:bookmarkStart w:id="39" w:name="_Toc155701215"/>
      <w:bookmarkStart w:id="40" w:name="_Toc26986772"/>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6B8D89ED3F23406D9337F3E090186C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1AD38C5">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C87B7C">
      <w:pPr>
        <w:ind w:firstLine="420"/>
        <w:rPr>
          <w:rFonts w:ascii="宋体" w:hAnsi="宋体"/>
        </w:rPr>
      </w:pPr>
      <w:r>
        <w:rPr>
          <w:rFonts w:hint="eastAsia" w:ascii="宋体" w:hAnsi="宋体"/>
        </w:rPr>
        <w:t>GB 31654 食品安全国家标准 餐饮服务通用卫生规范</w:t>
      </w:r>
    </w:p>
    <w:p w14:paraId="23A9B039">
      <w:pPr>
        <w:ind w:firstLine="420"/>
        <w:rPr>
          <w:rFonts w:ascii="宋体" w:hAnsi="宋体"/>
        </w:rPr>
      </w:pPr>
      <w:r>
        <w:rPr>
          <w:rFonts w:hint="eastAsia" w:ascii="宋体" w:hAnsi="宋体"/>
        </w:rPr>
        <w:t>GB 2760 食品安全国家标准 食品添加剂使用标准</w:t>
      </w:r>
    </w:p>
    <w:p w14:paraId="5DF83FF2">
      <w:pPr>
        <w:ind w:firstLine="420"/>
        <w:rPr>
          <w:rFonts w:ascii="宋体" w:hAnsi="宋体"/>
        </w:rPr>
      </w:pPr>
      <w:r>
        <w:rPr>
          <w:rFonts w:hint="eastAsia" w:ascii="宋体" w:hAnsi="宋体"/>
        </w:rPr>
        <w:t>GB 14934 食品安全国家标准 消毒餐（饮）具</w:t>
      </w:r>
    </w:p>
    <w:p w14:paraId="594B23C5">
      <w:pPr>
        <w:ind w:firstLine="420"/>
        <w:rPr>
          <w:rFonts w:ascii="宋体" w:hAnsi="宋体"/>
        </w:rPr>
      </w:pPr>
      <w:r>
        <w:rPr>
          <w:rFonts w:hint="eastAsia" w:ascii="宋体" w:hAnsi="宋体"/>
        </w:rPr>
        <w:t>WS/T 690 蚊虫生物防治技术指南 餐饮服务场所</w:t>
      </w:r>
    </w:p>
    <w:p w14:paraId="7A3C5815">
      <w:pPr>
        <w:ind w:firstLine="420"/>
        <w:rPr>
          <w:rFonts w:ascii="宋体" w:hAnsi="宋体"/>
        </w:rPr>
      </w:pPr>
      <w:r>
        <w:rPr>
          <w:rFonts w:hint="eastAsia" w:ascii="宋体" w:hAnsi="宋体"/>
        </w:rPr>
        <w:t>DB32/T 4036 中小学食堂管理服务规范</w:t>
      </w:r>
    </w:p>
    <w:p w14:paraId="0AADC90E">
      <w:pPr>
        <w:ind w:firstLine="420"/>
        <w:rPr>
          <w:rFonts w:ascii="宋体" w:hAnsi="宋体"/>
        </w:rPr>
      </w:pPr>
      <w:r>
        <w:rPr>
          <w:rFonts w:hint="eastAsia" w:ascii="宋体" w:hAnsi="宋体"/>
        </w:rPr>
        <w:t>GB 50099 中小学校设计规范</w:t>
      </w:r>
    </w:p>
    <w:p w14:paraId="7D71E474">
      <w:pPr>
        <w:ind w:firstLine="420"/>
        <w:rPr>
          <w:rFonts w:ascii="宋体" w:hAnsi="宋体"/>
        </w:rPr>
      </w:pPr>
      <w:r>
        <w:rPr>
          <w:rFonts w:hint="eastAsia" w:ascii="宋体" w:hAnsi="宋体"/>
        </w:rPr>
        <w:t>T/JYHQ 0002 高等学校引入社会餐饮企业承办学生食堂管理规范</w:t>
      </w:r>
    </w:p>
    <w:p w14:paraId="16B2145D">
      <w:pPr>
        <w:pStyle w:val="105"/>
        <w:spacing w:before="312" w:after="312"/>
      </w:pPr>
      <w:bookmarkStart w:id="42" w:name="_Toc155701216"/>
      <w:r>
        <w:rPr>
          <w:rFonts w:hint="eastAsia"/>
          <w:szCs w:val="21"/>
        </w:rPr>
        <w:t>术语和定义</w:t>
      </w:r>
      <w:bookmarkEnd w:id="42"/>
    </w:p>
    <w:sdt>
      <w:sdtPr>
        <w:id w:val="-1909835108"/>
        <w:placeholder>
          <w:docPart w:val="075D1E595EF84E5AA87AD50563E210E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95BA31">
          <w:pPr>
            <w:pStyle w:val="57"/>
            <w:ind w:firstLine="420"/>
          </w:pPr>
          <w:bookmarkStart w:id="43" w:name="_Toc26986532"/>
          <w:bookmarkEnd w:id="43"/>
          <w:r>
            <w:t>下列术语和定义适用于本文件。</w:t>
          </w:r>
        </w:p>
      </w:sdtContent>
    </w:sdt>
    <w:p w14:paraId="3D7E7BDF">
      <w:pPr>
        <w:pStyle w:val="224"/>
        <w:ind w:left="420" w:hanging="420" w:hangingChars="200"/>
        <w:rPr>
          <w:rFonts w:ascii="黑体" w:hAnsi="黑体" w:eastAsia="黑体"/>
        </w:rPr>
      </w:pPr>
    </w:p>
    <w:p w14:paraId="52313EA9">
      <w:pPr>
        <w:ind w:firstLine="420" w:firstLineChars="200"/>
        <w:rPr>
          <w:rFonts w:ascii="黑体" w:hAnsi="黑体" w:eastAsia="黑体"/>
        </w:rPr>
      </w:pPr>
      <w:r>
        <w:rPr>
          <w:rFonts w:hint="eastAsia" w:ascii="黑体" w:hAnsi="黑体" w:eastAsia="黑体"/>
        </w:rPr>
        <w:t>学校食堂  school canteen</w:t>
      </w:r>
    </w:p>
    <w:p w14:paraId="66D8B6CC">
      <w:pPr>
        <w:ind w:firstLine="420" w:firstLineChars="200"/>
        <w:rPr>
          <w:rFonts w:ascii="宋体" w:hAnsi="宋体"/>
        </w:rPr>
      </w:pPr>
      <w:r>
        <w:rPr>
          <w:rFonts w:hint="eastAsia" w:ascii="宋体" w:hAnsi="宋体"/>
        </w:rPr>
        <w:t>学校为学生和教职工提供就餐服务，具有相对独立的原料存放、食品加工制作、食品供应及就餐空间的特定餐饮服务提供者。</w:t>
      </w:r>
    </w:p>
    <w:p w14:paraId="672DC17F">
      <w:pPr>
        <w:pStyle w:val="180"/>
      </w:pPr>
      <w:r>
        <w:rPr>
          <w:rFonts w:hint="eastAsia"/>
        </w:rPr>
        <w:t>学校食堂一般具有饮食品种多样、就餐人群固定、供餐时间集中等特点。</w:t>
      </w:r>
    </w:p>
    <w:p w14:paraId="06991E0D">
      <w:pPr>
        <w:pStyle w:val="224"/>
        <w:ind w:left="420" w:hanging="420" w:hangingChars="200"/>
        <w:rPr>
          <w:rFonts w:ascii="黑体" w:hAnsi="黑体" w:eastAsia="黑体"/>
        </w:rPr>
      </w:pPr>
    </w:p>
    <w:p w14:paraId="5E8FCEE5">
      <w:pPr>
        <w:ind w:firstLine="420"/>
        <w:rPr>
          <w:rFonts w:ascii="黑体" w:hAnsi="黑体" w:eastAsia="黑体"/>
        </w:rPr>
      </w:pPr>
      <w:r>
        <w:rPr>
          <w:rFonts w:hint="eastAsia" w:ascii="黑体" w:hAnsi="黑体" w:eastAsia="黑体"/>
        </w:rPr>
        <w:t>学校食堂从业人员  school canteen staff</w:t>
      </w:r>
    </w:p>
    <w:p w14:paraId="662EC514">
      <w:pPr>
        <w:ind w:firstLine="420"/>
        <w:rPr>
          <w:rFonts w:ascii="宋体" w:hAnsi="宋体"/>
        </w:rPr>
      </w:pPr>
      <w:r>
        <w:rPr>
          <w:rFonts w:hint="eastAsia" w:ascii="宋体" w:hAnsi="宋体"/>
        </w:rPr>
        <w:t>食堂中从事食品安全管理、食品采购、加工制作、供餐、餐饮具清洗消毒等与餐饮服务有关的工作人员。</w:t>
      </w:r>
    </w:p>
    <w:p w14:paraId="5E0BB4B1">
      <w:pPr>
        <w:pStyle w:val="224"/>
        <w:ind w:left="420" w:hanging="420" w:hangingChars="200"/>
        <w:rPr>
          <w:rFonts w:ascii="黑体" w:hAnsi="黑体" w:eastAsia="黑体"/>
        </w:rPr>
      </w:pPr>
    </w:p>
    <w:p w14:paraId="240E1E93">
      <w:pPr>
        <w:ind w:firstLine="420"/>
        <w:rPr>
          <w:rFonts w:ascii="黑体" w:hAnsi="黑体" w:eastAsia="黑体"/>
        </w:rPr>
      </w:pPr>
      <w:r>
        <w:rPr>
          <w:rFonts w:hint="eastAsia" w:ascii="黑体" w:hAnsi="黑体" w:eastAsia="黑体"/>
        </w:rPr>
        <w:t>带量食谱  quantified recipe</w:t>
      </w:r>
    </w:p>
    <w:p w14:paraId="429DC455">
      <w:pPr>
        <w:ind w:firstLine="420"/>
        <w:rPr>
          <w:rFonts w:ascii="宋体" w:hAnsi="宋体"/>
        </w:rPr>
      </w:pPr>
      <w:r>
        <w:rPr>
          <w:rFonts w:hint="eastAsia" w:ascii="宋体" w:hAnsi="宋体"/>
        </w:rPr>
        <w:t>以餐次为单位，用表格形式提供的含有食物名称、原料种类及数量、供餐时间和烹调方式的一组食物搭配组合的食谱。</w:t>
      </w:r>
    </w:p>
    <w:p w14:paraId="78A7F8E5">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高危易腐食品  high risk perishable food</w:t>
      </w:r>
    </w:p>
    <w:p w14:paraId="26C8930F">
      <w:pPr>
        <w:ind w:firstLine="420"/>
        <w:rPr>
          <w:rFonts w:ascii="宋体" w:hAnsi="宋体"/>
        </w:rPr>
      </w:pPr>
      <w:r>
        <w:rPr>
          <w:rFonts w:hint="eastAsia" w:ascii="宋体" w:hAnsi="宋体"/>
        </w:rPr>
        <w:t>蛋白质或碳水化合物含量较高，常温下容易腐败变质的食品。</w:t>
      </w:r>
    </w:p>
    <w:p w14:paraId="64F9E4FC">
      <w:pPr>
        <w:pStyle w:val="180"/>
      </w:pPr>
      <w:r>
        <w:rPr>
          <w:rFonts w:hint="eastAsia" w:hAnsi="宋体"/>
        </w:rPr>
        <w:t>酸碱度（pH）大于4.6且水分活度（Aw）大于0.85，可判定为碳水化合物含量较高。</w:t>
      </w:r>
    </w:p>
    <w:p w14:paraId="5CB3DFCC">
      <w:pPr>
        <w:pStyle w:val="224"/>
        <w:ind w:left="420" w:hanging="420" w:hangingChars="200"/>
        <w:rPr>
          <w:rFonts w:hAnsi="宋体"/>
        </w:rPr>
      </w:pPr>
    </w:p>
    <w:p w14:paraId="270E74CC">
      <w:pPr>
        <w:pStyle w:val="57"/>
        <w:ind w:firstLine="420"/>
      </w:pPr>
      <w:r>
        <w:rPr>
          <w:rFonts w:hint="eastAsia" w:ascii="黑体" w:hAnsi="黑体" w:eastAsia="黑体"/>
        </w:rPr>
        <w:t>交叉污染  cross contamination</w:t>
      </w:r>
    </w:p>
    <w:p w14:paraId="3252D80D">
      <w:pPr>
        <w:pStyle w:val="57"/>
        <w:ind w:firstLine="420"/>
      </w:pPr>
      <w:r>
        <w:rPr>
          <w:rFonts w:hint="eastAsia" w:hAnsi="宋体"/>
        </w:rPr>
        <w:t>食品、从业人员、工具、容器、设备、设施、环境之间生物性或化学性污染物的相互转移、扩散的过程。</w:t>
      </w:r>
    </w:p>
    <w:p w14:paraId="67FCB400">
      <w:pPr>
        <w:pStyle w:val="105"/>
        <w:spacing w:before="312" w:after="312"/>
      </w:pPr>
      <w:bookmarkStart w:id="44" w:name="_Toc155701217"/>
      <w:r>
        <w:rPr>
          <w:rFonts w:hint="eastAsia"/>
        </w:rPr>
        <w:t>组织管理</w:t>
      </w:r>
      <w:bookmarkEnd w:id="44"/>
    </w:p>
    <w:p w14:paraId="5DFA20D7">
      <w:pPr>
        <w:pStyle w:val="106"/>
        <w:spacing w:before="156" w:after="156"/>
      </w:pPr>
      <w:r>
        <w:rPr>
          <w:rFonts w:hint="eastAsia"/>
        </w:rPr>
        <w:t>总体要求</w:t>
      </w:r>
    </w:p>
    <w:p w14:paraId="478EAB4C">
      <w:pPr>
        <w:pStyle w:val="166"/>
      </w:pPr>
      <w:r>
        <w:rPr>
          <w:rFonts w:hint="eastAsia" w:hAnsi="宋体"/>
          <w:kern w:val="2"/>
          <w:szCs w:val="21"/>
        </w:rPr>
        <w:t>学校行政主管部门应加强对学校食堂的日常监督与指导，加大设施设备升级改造资金投入，不断提升食品安全保障水平。</w:t>
      </w:r>
    </w:p>
    <w:p w14:paraId="7B28B40D">
      <w:pPr>
        <w:pStyle w:val="166"/>
      </w:pPr>
      <w:r>
        <w:rPr>
          <w:rFonts w:hint="eastAsia"/>
        </w:rPr>
        <w:t>学校食堂管理，实行校长（园长）负责制。校长（园长）是第一责任人，对学校食堂管理工作负总责。</w:t>
      </w:r>
    </w:p>
    <w:p w14:paraId="11BE907A">
      <w:pPr>
        <w:pStyle w:val="166"/>
        <w:rPr>
          <w:rFonts w:hAnsi="宋体"/>
          <w:kern w:val="2"/>
          <w:szCs w:val="21"/>
        </w:rPr>
      </w:pPr>
      <w:r>
        <w:rPr>
          <w:rFonts w:hint="eastAsia" w:hAnsi="宋体"/>
          <w:kern w:val="2"/>
          <w:szCs w:val="21"/>
        </w:rPr>
        <w:t>学校应建立由学校领导、后勤部门负责人、专（兼）职营养配餐师、教师代表、家委会代表等组成的膳食委员会，负责确定学生伙食收费标准、配餐食谱，采购招标和日常监督管理等工作。</w:t>
      </w:r>
    </w:p>
    <w:p w14:paraId="5D2D6840">
      <w:pPr>
        <w:pStyle w:val="106"/>
        <w:spacing w:before="156" w:after="156"/>
      </w:pPr>
      <w:r>
        <w:rPr>
          <w:rFonts w:hint="eastAsia"/>
        </w:rPr>
        <w:t>工作机制</w:t>
      </w:r>
    </w:p>
    <w:p w14:paraId="16553977">
      <w:pPr>
        <w:pStyle w:val="166"/>
      </w:pPr>
      <w:r>
        <w:rPr>
          <w:rFonts w:hint="eastAsia"/>
        </w:rPr>
        <w:t>学校要将食品安全工作列入学校重要议事日程，建立健全食品安全管理制度，定期组织开展风险隐患排查；开展食品安全与营养健康宣传教育；遵守财经纪律和财务制度；改善食堂设施设备，落实食品安全保障措施，防范食品安全风险。</w:t>
      </w:r>
    </w:p>
    <w:p w14:paraId="1F9540D0">
      <w:pPr>
        <w:pStyle w:val="166"/>
        <w:rPr>
          <w:rFonts w:hAnsi="宋体"/>
          <w:kern w:val="2"/>
          <w:szCs w:val="21"/>
        </w:rPr>
      </w:pPr>
      <w:r>
        <w:rPr>
          <w:rFonts w:hint="eastAsia"/>
        </w:rPr>
        <w:t>学校行政主管部门应与学校签订目标责任书，并按照目标责任书的要求进行考核评估。</w:t>
      </w:r>
    </w:p>
    <w:p w14:paraId="0EF39F61">
      <w:pPr>
        <w:pStyle w:val="166"/>
      </w:pPr>
      <w:r>
        <w:rPr>
          <w:rFonts w:hint="eastAsia"/>
        </w:rPr>
        <w:t>学校行政主管部门应使用食堂信息化监管服务平台，对学校食堂经营管理情况进行监管，及时通报。</w:t>
      </w:r>
    </w:p>
    <w:p w14:paraId="1A61C5C1">
      <w:pPr>
        <w:pStyle w:val="166"/>
      </w:pPr>
      <w:r>
        <w:rPr>
          <w:rFonts w:hint="eastAsia"/>
        </w:rPr>
        <w:t>学校行政主管部门及学校应通过网络平台、“互联网+明厨亮灶系统”、学校宣传栏等，公开食堂采购、带量食谱、食品生产过程等信息，使学校食堂管理阳光透明。</w:t>
      </w:r>
    </w:p>
    <w:p w14:paraId="6EB4E85F">
      <w:pPr>
        <w:pStyle w:val="105"/>
        <w:spacing w:before="312" w:after="312"/>
      </w:pPr>
      <w:bookmarkStart w:id="45" w:name="_Toc155701218"/>
      <w:r>
        <w:rPr>
          <w:rFonts w:hint="eastAsia"/>
        </w:rPr>
        <w:t>主体责任</w:t>
      </w:r>
      <w:bookmarkEnd w:id="45"/>
    </w:p>
    <w:p w14:paraId="50D8BD3F">
      <w:pPr>
        <w:pStyle w:val="106"/>
        <w:spacing w:before="156" w:after="156"/>
      </w:pPr>
      <w:r>
        <w:rPr>
          <w:rFonts w:hint="eastAsia"/>
        </w:rPr>
        <w:t>人员配备</w:t>
      </w:r>
    </w:p>
    <w:p w14:paraId="43B1B29A">
      <w:pPr>
        <w:pStyle w:val="57"/>
        <w:ind w:firstLine="420"/>
      </w:pPr>
      <w:r>
        <w:rPr>
          <w:rFonts w:hint="eastAsia"/>
        </w:rPr>
        <w:t>学校食堂应当依法落实食品安全责任制，配备与用餐规模、食品类别、风险等级、管理水平、安全状况等相适应的食品安全总监、食品安全员，明确岗位职责。</w:t>
      </w:r>
    </w:p>
    <w:p w14:paraId="450B3C86">
      <w:pPr>
        <w:pStyle w:val="106"/>
        <w:spacing w:before="156" w:after="156"/>
      </w:pPr>
      <w:r>
        <w:rPr>
          <w:rFonts w:hint="eastAsia"/>
        </w:rPr>
        <w:t>人员职责</w:t>
      </w:r>
    </w:p>
    <w:p w14:paraId="7EDBA681">
      <w:pPr>
        <w:pStyle w:val="166"/>
      </w:pPr>
      <w:r>
        <w:rPr>
          <w:rFonts w:hint="eastAsia"/>
        </w:rPr>
        <w:t>学校主要负责人对本学校食品安全工作全面负责。</w:t>
      </w:r>
    </w:p>
    <w:p w14:paraId="5F51B8A9">
      <w:pPr>
        <w:pStyle w:val="175"/>
        <w:numPr>
          <w:ilvl w:val="0"/>
          <w:numId w:val="0"/>
        </w:numPr>
        <w:ind w:left="851"/>
      </w:pPr>
      <w:r>
        <w:rPr>
          <w:rFonts w:hint="eastAsia"/>
        </w:rPr>
        <w:t>5.2.1.1督促学校食堂</w:t>
      </w:r>
      <w:r>
        <w:t>建立健全并</w:t>
      </w:r>
      <w:r>
        <w:rPr>
          <w:rFonts w:hint="eastAsia"/>
        </w:rPr>
        <w:t>严格</w:t>
      </w:r>
      <w:r>
        <w:t>落实有关食品安全管理制度和工作要求，定期组织开展食品安全隐患排查；</w:t>
      </w:r>
    </w:p>
    <w:p w14:paraId="67505BA9">
      <w:pPr>
        <w:pStyle w:val="175"/>
        <w:numPr>
          <w:ilvl w:val="0"/>
          <w:numId w:val="0"/>
        </w:numPr>
        <w:ind w:left="851"/>
      </w:pPr>
      <w:r>
        <w:rPr>
          <w:rFonts w:hint="eastAsia"/>
        </w:rPr>
        <w:t>5.2.1.2</w:t>
      </w:r>
      <w:r>
        <w:t>督促组织人事等部门加强食品安全管理人员队伍及能力建设，依法配备食品安全总监、食品安全员等食品安全管理人员，</w:t>
      </w:r>
      <w:r>
        <w:rPr>
          <w:rFonts w:hint="eastAsia"/>
        </w:rPr>
        <w:t>为食品安全管理人员履职提供充分保障</w:t>
      </w:r>
      <w:r>
        <w:t>；</w:t>
      </w:r>
    </w:p>
    <w:p w14:paraId="4832F511">
      <w:pPr>
        <w:pStyle w:val="175"/>
        <w:numPr>
          <w:ilvl w:val="0"/>
          <w:numId w:val="0"/>
        </w:numPr>
        <w:ind w:left="851"/>
      </w:pPr>
      <w:r>
        <w:rPr>
          <w:rFonts w:hint="eastAsia"/>
        </w:rPr>
        <w:t>5.2.1.3</w:t>
      </w:r>
      <w:r>
        <w:t>每月至少听取1次食品安全总监管理工作情况汇报，对下个月重点工作作出调度安排，研究落实监管部门监督检查意见和相关问题整改；</w:t>
      </w:r>
    </w:p>
    <w:p w14:paraId="5AFE78EA">
      <w:pPr>
        <w:pStyle w:val="175"/>
        <w:numPr>
          <w:ilvl w:val="0"/>
          <w:numId w:val="0"/>
        </w:numPr>
        <w:ind w:left="851"/>
      </w:pPr>
      <w:r>
        <w:rPr>
          <w:rFonts w:hint="eastAsia"/>
        </w:rPr>
        <w:t>5.2.1.4</w:t>
      </w:r>
      <w:r>
        <w:t>定期参加教职工代表大会</w:t>
      </w:r>
      <w:r>
        <w:rPr>
          <w:rFonts w:hint="eastAsia"/>
        </w:rPr>
        <w:t>、</w:t>
      </w:r>
      <w:r>
        <w:t>学生代表大会或家长委员会会议，听取</w:t>
      </w:r>
      <w:r>
        <w:rPr>
          <w:rFonts w:hint="eastAsia"/>
        </w:rPr>
        <w:t>师生、家长</w:t>
      </w:r>
      <w:r>
        <w:t>对学校食品安全管理的意见和建议</w:t>
      </w:r>
      <w:r>
        <w:rPr>
          <w:rFonts w:hint="eastAsia"/>
        </w:rPr>
        <w:t>。</w:t>
      </w:r>
    </w:p>
    <w:p w14:paraId="643F934D">
      <w:pPr>
        <w:pStyle w:val="166"/>
      </w:pPr>
      <w:r>
        <w:rPr>
          <w:rFonts w:hint="eastAsia"/>
        </w:rPr>
        <w:t xml:space="preserve">食品安全总监按照职责要求直接对本学校主要负责人负责，协助主要负责人做好食品安全管理工作，承担下列职责： </w:t>
      </w:r>
    </w:p>
    <w:p w14:paraId="7460A3FE">
      <w:pPr>
        <w:pStyle w:val="175"/>
        <w:numPr>
          <w:ilvl w:val="0"/>
          <w:numId w:val="0"/>
        </w:numPr>
        <w:ind w:left="851"/>
      </w:pPr>
      <w:r>
        <w:rPr>
          <w:rFonts w:hint="eastAsia"/>
        </w:rPr>
        <w:t xml:space="preserve">5.2.2.1组织拟定食品安全管理制度，督促落实食品安全责任制，明确从业人员健康管理、供货者管理、进货查验、生产经营过程控制、投诉举报处理等食品安全方面的责任要求； </w:t>
      </w:r>
    </w:p>
    <w:p w14:paraId="18177652">
      <w:pPr>
        <w:pStyle w:val="175"/>
        <w:numPr>
          <w:ilvl w:val="0"/>
          <w:numId w:val="0"/>
        </w:numPr>
        <w:ind w:left="851"/>
      </w:pPr>
      <w:r>
        <w:rPr>
          <w:rFonts w:hint="eastAsia"/>
        </w:rPr>
        <w:t xml:space="preserve">5.2.2.2组织拟定并督促落实食品安全风险防控措施，定期组织食品安全自查，评估食品安全状况，及时向学校主要负责人报告食品安全工作情况并提出改进措施，阻止、纠正食品安全违法行为； </w:t>
      </w:r>
    </w:p>
    <w:p w14:paraId="00B8E6C3">
      <w:pPr>
        <w:pStyle w:val="175"/>
        <w:numPr>
          <w:ilvl w:val="0"/>
          <w:numId w:val="0"/>
        </w:numPr>
        <w:ind w:left="851"/>
      </w:pPr>
      <w:r>
        <w:rPr>
          <w:rFonts w:hint="eastAsia"/>
        </w:rPr>
        <w:t xml:space="preserve">5.2.2.3组织拟定食品安全事故处置方案，组织开展应急演练，落实食品安全事故报告义务，采取措施防止事故扩大； </w:t>
      </w:r>
    </w:p>
    <w:p w14:paraId="0B91B2B9">
      <w:pPr>
        <w:pStyle w:val="175"/>
        <w:numPr>
          <w:ilvl w:val="0"/>
          <w:numId w:val="0"/>
        </w:numPr>
        <w:ind w:left="851"/>
      </w:pPr>
      <w:r>
        <w:rPr>
          <w:rFonts w:hint="eastAsia"/>
        </w:rPr>
        <w:t xml:space="preserve">5.2.2.4负责管理、督促、指导食品安全员按照职责做好相关工作，组织开展职工食品安全教育、培训、考核； </w:t>
      </w:r>
    </w:p>
    <w:p w14:paraId="43F85A2E">
      <w:pPr>
        <w:pStyle w:val="175"/>
        <w:numPr>
          <w:ilvl w:val="0"/>
          <w:numId w:val="0"/>
        </w:numPr>
        <w:ind w:left="851"/>
      </w:pPr>
      <w:r>
        <w:rPr>
          <w:rFonts w:hint="eastAsia"/>
        </w:rPr>
        <w:t xml:space="preserve">5.2.2.5接受和配合监督管理部门开展食品安全监督检查等工作，如实提供有关情况； </w:t>
      </w:r>
    </w:p>
    <w:p w14:paraId="422C0BCF">
      <w:pPr>
        <w:pStyle w:val="175"/>
        <w:numPr>
          <w:ilvl w:val="0"/>
          <w:numId w:val="0"/>
        </w:numPr>
        <w:ind w:left="851"/>
      </w:pPr>
      <w:r>
        <w:rPr>
          <w:rFonts w:hint="eastAsia"/>
        </w:rPr>
        <w:t>5.2.2.6其他食品安全管理责任。</w:t>
      </w:r>
    </w:p>
    <w:p w14:paraId="6FBF2639">
      <w:pPr>
        <w:pStyle w:val="166"/>
      </w:pPr>
      <w:r>
        <w:rPr>
          <w:rFonts w:hint="eastAsia"/>
        </w:rPr>
        <w:t xml:space="preserve"> 食品安全员按照职责要求对食品安全总监或者学校主要负责人负责，从事食品安全管理具体工作，承担下列职责： </w:t>
      </w:r>
    </w:p>
    <w:p w14:paraId="1DD0CE09">
      <w:pPr>
        <w:pStyle w:val="175"/>
        <w:numPr>
          <w:ilvl w:val="0"/>
          <w:numId w:val="0"/>
        </w:numPr>
        <w:ind w:left="851"/>
      </w:pPr>
      <w:r>
        <w:rPr>
          <w:rFonts w:hint="eastAsia"/>
        </w:rPr>
        <w:t xml:space="preserve">5.2.3.1督促落实食品生产经营过程控制要求； </w:t>
      </w:r>
    </w:p>
    <w:p w14:paraId="30250C64">
      <w:pPr>
        <w:pStyle w:val="175"/>
        <w:numPr>
          <w:ilvl w:val="0"/>
          <w:numId w:val="0"/>
        </w:numPr>
        <w:ind w:left="851"/>
      </w:pPr>
      <w:r>
        <w:rPr>
          <w:rFonts w:hint="eastAsia"/>
        </w:rPr>
        <w:t xml:space="preserve">5.2.3.2检查食品安全管理制度执行情况，管理维护食品安全生产经营过程记录材料，按照要求保存相关资料； </w:t>
      </w:r>
    </w:p>
    <w:p w14:paraId="0B09AB05">
      <w:pPr>
        <w:pStyle w:val="175"/>
        <w:numPr>
          <w:ilvl w:val="0"/>
          <w:numId w:val="0"/>
        </w:numPr>
        <w:ind w:left="851"/>
      </w:pPr>
      <w:r>
        <w:rPr>
          <w:rFonts w:hint="eastAsia"/>
        </w:rPr>
        <w:t xml:space="preserve">5.2.3.3对不符合食品安全标准的食品或者有证据证明可能危害人体健康的食品以及发现的食品安全风险隐患，及时采取有效措施整改并报告； </w:t>
      </w:r>
    </w:p>
    <w:p w14:paraId="2EEEF6D0">
      <w:pPr>
        <w:pStyle w:val="175"/>
        <w:numPr>
          <w:ilvl w:val="0"/>
          <w:numId w:val="0"/>
        </w:numPr>
        <w:ind w:left="851"/>
      </w:pPr>
      <w:r>
        <w:rPr>
          <w:rFonts w:hint="eastAsia"/>
        </w:rPr>
        <w:t xml:space="preserve">5.2.3.4记录和管理从业人员健康状况、卫生状况； </w:t>
      </w:r>
    </w:p>
    <w:p w14:paraId="57A7D4D7">
      <w:pPr>
        <w:pStyle w:val="175"/>
        <w:numPr>
          <w:ilvl w:val="0"/>
          <w:numId w:val="0"/>
        </w:numPr>
        <w:ind w:left="851"/>
      </w:pPr>
      <w:r>
        <w:rPr>
          <w:rFonts w:hint="eastAsia"/>
        </w:rPr>
        <w:t xml:space="preserve">5.2.3.5配合有关部门调查处理食品安全事故； </w:t>
      </w:r>
    </w:p>
    <w:p w14:paraId="23686D33">
      <w:pPr>
        <w:pStyle w:val="175"/>
        <w:numPr>
          <w:ilvl w:val="0"/>
          <w:numId w:val="0"/>
        </w:numPr>
        <w:ind w:left="851"/>
      </w:pPr>
      <w:r>
        <w:rPr>
          <w:rFonts w:hint="eastAsia"/>
        </w:rPr>
        <w:t>5.2.3.6其他食品安全管理责任。</w:t>
      </w:r>
    </w:p>
    <w:p w14:paraId="3E56AAD4">
      <w:pPr>
        <w:pStyle w:val="106"/>
        <w:spacing w:before="156" w:after="156"/>
      </w:pPr>
      <w:r>
        <w:rPr>
          <w:rFonts w:hint="eastAsia"/>
        </w:rPr>
        <w:t xml:space="preserve"> “日、周、月”食品安全风险工作</w:t>
      </w:r>
    </w:p>
    <w:p w14:paraId="0981AEB1">
      <w:pPr>
        <w:pStyle w:val="166"/>
      </w:pPr>
      <w:r>
        <w:rPr>
          <w:rFonts w:hint="eastAsia"/>
        </w:rPr>
        <w:t>学校应当建立基于食品安全风险防控的动态管理机制，结合实际，落实自查要求，制定食品安全风险管控清单，建立健全日管控、周排查、月调度工作制度和机制。</w:t>
      </w:r>
    </w:p>
    <w:p w14:paraId="5CB96F50">
      <w:pPr>
        <w:pStyle w:val="166"/>
      </w:pPr>
      <w:r>
        <w:rPr>
          <w:rFonts w:hint="eastAsia"/>
        </w:rPr>
        <w:t>学校应当建立食品安全日管控制度。食品安全员每日根据风险管控清单进行检查，依托“江苏省食品经营监管系统”，形成《每日食品安全检查记录》，对发现的食品安全风险隐患，应当立即采取防范措施，按照程序及时上报食品安全总监或者学校主要负责人。未发现问题的，也应当予以记录，实行零风险报告。</w:t>
      </w:r>
    </w:p>
    <w:p w14:paraId="46A0A5E0">
      <w:pPr>
        <w:pStyle w:val="166"/>
      </w:pPr>
      <w:r>
        <w:rPr>
          <w:rFonts w:hint="eastAsia"/>
        </w:rPr>
        <w:t>学校应当建立食品安全周排查制度。食品安全总监或者食品安全员每周至少组织1次风险隐患排查，分析研判食品安全管理情况，研究解决日管控中发现的问题，依托“江苏省食品经营监管系统”，形成《每周食品安全排查治理报告》。</w:t>
      </w:r>
    </w:p>
    <w:p w14:paraId="11983D20">
      <w:pPr>
        <w:pStyle w:val="166"/>
      </w:pPr>
      <w:r>
        <w:rPr>
          <w:rFonts w:hint="eastAsia"/>
        </w:rPr>
        <w:t>学校应当建立食品安全月调度制度。学校主要负责人每月至少听取1次食品安全总监管理工作情况汇报，对当月食品安全日常管理、风险隐患排查治理等情况进行工作总结，对下个月重点工作作出调度安排，依托“江苏省食品经营监管系统”，形成《每月食品安全调度会议纪要》。</w:t>
      </w:r>
    </w:p>
    <w:p w14:paraId="0414D7CD">
      <w:pPr>
        <w:pStyle w:val="105"/>
        <w:spacing w:before="312" w:after="312"/>
      </w:pPr>
      <w:bookmarkStart w:id="46" w:name="_Toc155701219"/>
      <w:r>
        <w:rPr>
          <w:rFonts w:hint="eastAsia"/>
        </w:rPr>
        <w:t>经营管理</w:t>
      </w:r>
      <w:bookmarkEnd w:id="46"/>
    </w:p>
    <w:p w14:paraId="7FDF4B7E">
      <w:pPr>
        <w:pStyle w:val="163"/>
      </w:pPr>
      <w:r>
        <w:rPr>
          <w:rFonts w:hint="eastAsia"/>
        </w:rPr>
        <w:t>义务教育阶段的学校食堂须自主经营。其余学校食堂可根据自身条件，确定经营方式，如自主经营、委托经营或承包经营。</w:t>
      </w:r>
    </w:p>
    <w:p w14:paraId="2108710F">
      <w:pPr>
        <w:pStyle w:val="163"/>
      </w:pPr>
      <w:r>
        <w:rPr>
          <w:rFonts w:hint="eastAsia"/>
        </w:rPr>
        <w:t>学校食堂应依法取得食品经营许可证，并在食堂显著位置悬挂或者摆放许可证。采用承包经营的，还应在食堂显著位置悬挂或者摆放承包者的营业执照和食品经营许可证。</w:t>
      </w:r>
    </w:p>
    <w:p w14:paraId="1D4029F4">
      <w:pPr>
        <w:pStyle w:val="163"/>
      </w:pPr>
      <w:r>
        <w:rPr>
          <w:rFonts w:hint="eastAsia"/>
        </w:rPr>
        <w:t>学校食堂需向专业餐饮服务企业购买管理、用工服务的，应向属地教育主管部门提出申请，经审核批准后，通过招标择优选择服务企业。应优先选择通过HACCP或ISO22000体系认证的委托或承包单位。</w:t>
      </w:r>
    </w:p>
    <w:p w14:paraId="16045F9B">
      <w:pPr>
        <w:pStyle w:val="163"/>
      </w:pPr>
      <w:r>
        <w:rPr>
          <w:rFonts w:hint="eastAsia"/>
        </w:rPr>
        <w:t>委托或承包经营服务主体需具备以下资质条件：</w:t>
      </w:r>
    </w:p>
    <w:p w14:paraId="0AB2EB6F">
      <w:pPr>
        <w:pStyle w:val="175"/>
        <w:numPr>
          <w:ilvl w:val="0"/>
          <w:numId w:val="0"/>
        </w:numPr>
        <w:ind w:left="851"/>
      </w:pPr>
      <w:r>
        <w:rPr>
          <w:rFonts w:hint="eastAsia"/>
        </w:rPr>
        <w:t>6.4.1取得餐饮服务管理食品经营许可；</w:t>
      </w:r>
    </w:p>
    <w:p w14:paraId="28D82DCF">
      <w:pPr>
        <w:pStyle w:val="175"/>
        <w:numPr>
          <w:ilvl w:val="0"/>
          <w:numId w:val="0"/>
        </w:numPr>
        <w:ind w:left="851"/>
      </w:pPr>
      <w:r>
        <w:rPr>
          <w:rFonts w:hint="eastAsia"/>
        </w:rPr>
        <w:t>6.4.2在中国政府采购、信用中国、中国裁判文书等网站和国家企业信用信息公示系统中未被列为严重违法失信的；</w:t>
      </w:r>
    </w:p>
    <w:p w14:paraId="40ED926A">
      <w:pPr>
        <w:pStyle w:val="175"/>
        <w:numPr>
          <w:ilvl w:val="0"/>
          <w:numId w:val="0"/>
        </w:numPr>
        <w:ind w:left="851"/>
      </w:pPr>
      <w:r>
        <w:rPr>
          <w:rFonts w:hint="eastAsia"/>
        </w:rPr>
        <w:t>6.4.3有食品安全管理机构，配备食品安全员和至少1名具备资质的营养指导人员（注册营养师、营养配餐员、营养指导员等）。</w:t>
      </w:r>
    </w:p>
    <w:p w14:paraId="1CA10C48">
      <w:pPr>
        <w:pStyle w:val="163"/>
      </w:pPr>
      <w:r>
        <w:rPr>
          <w:rFonts w:hint="eastAsia"/>
        </w:rPr>
        <w:t>食堂委托或承包经营的，由学校与经营服务主体依法签订合同，明确双方在食堂管理服务、饭菜质量和价格以及食品安全等方面的权利和义务，督促其落实食品安全与营养健康管理责任。</w:t>
      </w:r>
    </w:p>
    <w:p w14:paraId="1300557B">
      <w:pPr>
        <w:pStyle w:val="163"/>
      </w:pPr>
      <w:r>
        <w:rPr>
          <w:rFonts w:hint="eastAsia"/>
        </w:rPr>
        <w:t>委托或承包经营服务主体应依照法律法规、规章、食品安全标准以及合同约定进行经营，接受学校监督管理，依法接受审计。</w:t>
      </w:r>
    </w:p>
    <w:p w14:paraId="547971B8">
      <w:pPr>
        <w:pStyle w:val="163"/>
      </w:pPr>
      <w:r>
        <w:rPr>
          <w:rFonts w:hint="eastAsia"/>
        </w:rPr>
        <w:t>委托或承包经营服务主体出现下列情况之一者，学校应立即停止供餐，及时终止供餐合同，同时报告属地教育、市场监管等部门：</w:t>
      </w:r>
    </w:p>
    <w:p w14:paraId="50F8C29A">
      <w:pPr>
        <w:pStyle w:val="175"/>
        <w:numPr>
          <w:ilvl w:val="0"/>
          <w:numId w:val="0"/>
        </w:numPr>
        <w:ind w:left="851"/>
      </w:pPr>
      <w:r>
        <w:rPr>
          <w:rFonts w:hint="eastAsia"/>
        </w:rPr>
        <w:t>6.7.1发生转包、分包供餐业务的，擅自更换履约人的，违反法律法规或供餐合同行为的；</w:t>
      </w:r>
    </w:p>
    <w:p w14:paraId="5CFDF317">
      <w:pPr>
        <w:pStyle w:val="175"/>
        <w:numPr>
          <w:ilvl w:val="0"/>
          <w:numId w:val="0"/>
        </w:numPr>
        <w:ind w:left="851"/>
      </w:pPr>
      <w:r>
        <w:rPr>
          <w:rFonts w:hint="eastAsia"/>
        </w:rPr>
        <w:t>6.7.2降低供餐质量和餐量标准的，随意变更供餐食谱或每学年师生满意度测评连续两次未达到80%的；</w:t>
      </w:r>
    </w:p>
    <w:p w14:paraId="379F607E">
      <w:pPr>
        <w:pStyle w:val="175"/>
        <w:numPr>
          <w:ilvl w:val="0"/>
          <w:numId w:val="0"/>
        </w:numPr>
        <w:ind w:left="851"/>
      </w:pPr>
      <w:r>
        <w:rPr>
          <w:rFonts w:hint="eastAsia"/>
        </w:rPr>
        <w:t>6.7.3未持续保持食品经营许可或管理资质、经整改仍不符合食品经营或管理条件的；</w:t>
      </w:r>
    </w:p>
    <w:p w14:paraId="56AE1FAB">
      <w:pPr>
        <w:pStyle w:val="175"/>
        <w:numPr>
          <w:ilvl w:val="0"/>
          <w:numId w:val="0"/>
        </w:numPr>
        <w:ind w:left="851"/>
      </w:pPr>
      <w:r>
        <w:rPr>
          <w:rFonts w:hint="eastAsia"/>
        </w:rPr>
        <w:t>6.7.4经营服务主体与学校间存在商业贿赂等不正当经营行为的；</w:t>
      </w:r>
    </w:p>
    <w:p w14:paraId="19164686">
      <w:pPr>
        <w:pStyle w:val="175"/>
        <w:numPr>
          <w:ilvl w:val="0"/>
          <w:numId w:val="0"/>
        </w:numPr>
        <w:ind w:left="851"/>
      </w:pPr>
      <w:r>
        <w:rPr>
          <w:rFonts w:hint="eastAsia"/>
        </w:rPr>
        <w:t>6.7.5存在采购加工法律法规禁止生产经营的食品、使用非食用物质、滥用食品添加剂、降低食品安全保障条件等食品安全问题的；</w:t>
      </w:r>
    </w:p>
    <w:p w14:paraId="31B6B3FF">
      <w:pPr>
        <w:pStyle w:val="175"/>
        <w:numPr>
          <w:ilvl w:val="0"/>
          <w:numId w:val="0"/>
        </w:numPr>
        <w:ind w:left="851"/>
      </w:pPr>
      <w:r>
        <w:rPr>
          <w:rFonts w:hint="eastAsia"/>
        </w:rPr>
        <w:t>6.7.6未履行供餐服务合同约定的，经营管理混乱、存在突出食品安全隐患的，被市场监督管理部门处罚且限期整改不力的；</w:t>
      </w:r>
    </w:p>
    <w:p w14:paraId="311BF4B8">
      <w:pPr>
        <w:pStyle w:val="175"/>
        <w:numPr>
          <w:ilvl w:val="0"/>
          <w:numId w:val="0"/>
        </w:numPr>
        <w:ind w:left="851"/>
      </w:pPr>
      <w:r>
        <w:rPr>
          <w:rFonts w:hint="eastAsia"/>
        </w:rPr>
        <w:t>6.7.7违法采购不合格食品、原材料或掺假用假的，加工无证、过期、有害食品的，危害学生健康或服务质量存在问题及其它原因而引起群体性事故的；</w:t>
      </w:r>
    </w:p>
    <w:p w14:paraId="2CE85269">
      <w:pPr>
        <w:pStyle w:val="175"/>
        <w:numPr>
          <w:ilvl w:val="0"/>
          <w:numId w:val="0"/>
        </w:numPr>
        <w:ind w:left="851"/>
      </w:pPr>
      <w:r>
        <w:rPr>
          <w:rFonts w:hint="eastAsia"/>
        </w:rPr>
        <w:t>6.7.8发生食品安全事故、造成学生食物中毒的；</w:t>
      </w:r>
    </w:p>
    <w:p w14:paraId="45882970">
      <w:pPr>
        <w:pStyle w:val="175"/>
        <w:numPr>
          <w:ilvl w:val="0"/>
          <w:numId w:val="0"/>
        </w:numPr>
        <w:ind w:left="851"/>
      </w:pPr>
      <w:r>
        <w:rPr>
          <w:rFonts w:hint="eastAsia"/>
        </w:rPr>
        <w:t>6.7.9违反相关法律法规，被吊销或注销食品经营许可证、营业执照的。</w:t>
      </w:r>
    </w:p>
    <w:p w14:paraId="7F7F0C23">
      <w:pPr>
        <w:pStyle w:val="105"/>
        <w:spacing w:before="312" w:after="312"/>
      </w:pPr>
      <w:bookmarkStart w:id="47" w:name="_Toc155701221"/>
      <w:r>
        <w:rPr>
          <w:rFonts w:hint="eastAsia"/>
        </w:rPr>
        <w:t>设施设备</w:t>
      </w:r>
      <w:bookmarkEnd w:id="47"/>
    </w:p>
    <w:p w14:paraId="59C082F1">
      <w:pPr>
        <w:pStyle w:val="106"/>
        <w:spacing w:before="156" w:after="156"/>
      </w:pPr>
      <w:r>
        <w:rPr>
          <w:rFonts w:hint="eastAsia"/>
        </w:rPr>
        <w:t>设施配备</w:t>
      </w:r>
    </w:p>
    <w:p w14:paraId="2518BC32">
      <w:pPr>
        <w:pStyle w:val="57"/>
        <w:ind w:firstLine="420"/>
      </w:pPr>
      <w:r>
        <w:rPr>
          <w:rFonts w:hint="eastAsia"/>
        </w:rPr>
        <w:t>学校食堂主要设备设施包含：水电气设施、灶具、油烟净化装置、机械排风排气及送风设施、蒸箱、消毒柜、冷库、冰箱、食品保温设施设备、洗手池等。</w:t>
      </w:r>
    </w:p>
    <w:p w14:paraId="0EEA8161">
      <w:pPr>
        <w:pStyle w:val="106"/>
        <w:spacing w:before="156" w:after="156"/>
      </w:pPr>
      <w:r>
        <w:rPr>
          <w:rFonts w:hint="eastAsia"/>
        </w:rPr>
        <w:t>供水设施</w:t>
      </w:r>
    </w:p>
    <w:p w14:paraId="458BD9CF">
      <w:pPr>
        <w:pStyle w:val="57"/>
        <w:ind w:firstLine="420"/>
      </w:pPr>
      <w:r>
        <w:rPr>
          <w:rFonts w:hint="eastAsia"/>
        </w:rPr>
        <w:t>学校食品加工用水应符合GB 5749 的要求。供水设施中使用的涉水产品应符合国家相关规定。</w:t>
      </w:r>
    </w:p>
    <w:p w14:paraId="05E4E5C7">
      <w:pPr>
        <w:pStyle w:val="106"/>
        <w:spacing w:before="156" w:after="156"/>
      </w:pPr>
      <w:r>
        <w:rPr>
          <w:rFonts w:hint="eastAsia"/>
        </w:rPr>
        <w:t>排水设施</w:t>
      </w:r>
    </w:p>
    <w:p w14:paraId="6A8DE904">
      <w:pPr>
        <w:pStyle w:val="57"/>
        <w:ind w:firstLine="420"/>
      </w:pPr>
      <w:r>
        <w:rPr>
          <w:rFonts w:hint="eastAsia"/>
        </w:rPr>
        <w:t>排水设施应通畅，便于清洁、维护，排水口应当有防止逆流、防止有害生物侵入、水封防臭的设施。排水的流向应由清洁操作区流向准清洁操作区或者一般作业区，并有防止污水逆流的设计。排水沟应有一定坡度，保持畅通。</w:t>
      </w:r>
    </w:p>
    <w:p w14:paraId="4B6548C8">
      <w:pPr>
        <w:pStyle w:val="106"/>
        <w:spacing w:before="156" w:after="156"/>
      </w:pPr>
      <w:r>
        <w:rPr>
          <w:rFonts w:hint="eastAsia"/>
        </w:rPr>
        <w:t>清洗消毒保洁设施</w:t>
      </w:r>
    </w:p>
    <w:p w14:paraId="16CB1197">
      <w:pPr>
        <w:pStyle w:val="166"/>
      </w:pPr>
      <w:r>
        <w:rPr>
          <w:rFonts w:hint="eastAsia"/>
        </w:rPr>
        <w:t>食堂应配备容量和数量能满足加工制作和供餐的清洗、消毒、保洁设施设备。所有接触直接入口食品的餐饮具、加工器具（除锅具）、容器使用后均应清洗、消毒并保存在专用保洁设施中。鼓励采用一体化洗碗消毒设施。</w:t>
      </w:r>
    </w:p>
    <w:p w14:paraId="6AF257D6">
      <w:pPr>
        <w:pStyle w:val="166"/>
      </w:pPr>
      <w:r>
        <w:rPr>
          <w:rFonts w:hint="eastAsia"/>
        </w:rPr>
        <w:t>餐用具消毒应以热力消毒为主，化学消毒仅限用于不耐高温餐用具消毒。采用物理消毒的，在热力消毒柜附近应张贴操作规程。采用化学消毒的，宜设置4个专用水池，分别用于餐用具初洗、清洗、浸泡消毒和消毒液残留冲洗。各类水池应用明显标识标明其用途，消毒池上方加贴消毒方法说明。</w:t>
      </w:r>
    </w:p>
    <w:p w14:paraId="47D9DBF4">
      <w:pPr>
        <w:pStyle w:val="166"/>
      </w:pPr>
      <w:r>
        <w:rPr>
          <w:rFonts w:hint="eastAsia"/>
        </w:rPr>
        <w:t>应设置存放消毒后餐用具的专用保洁设施，标识明显，易于清洁。</w:t>
      </w:r>
    </w:p>
    <w:p w14:paraId="00901261">
      <w:pPr>
        <w:pStyle w:val="166"/>
      </w:pPr>
      <w:r>
        <w:rPr>
          <w:rFonts w:hint="eastAsia"/>
        </w:rPr>
        <w:t>食堂专间、更衣间应设置紫外线消毒灯，应按功率不小于1.5W／m³设置波长为200nm～275nm 的紫外线消毒灯，强度大于70μW/c ㎡，悬挂于距离备餐间（区）操作台面或更衣间地面1.5m～2m 以内高度。</w:t>
      </w:r>
    </w:p>
    <w:p w14:paraId="44CB66A2">
      <w:pPr>
        <w:pStyle w:val="106"/>
        <w:spacing w:before="156" w:after="156"/>
      </w:pPr>
      <w:r>
        <w:rPr>
          <w:rFonts w:hint="eastAsia"/>
        </w:rPr>
        <w:t>个人卫生设施</w:t>
      </w:r>
    </w:p>
    <w:p w14:paraId="3D306AEC">
      <w:pPr>
        <w:pStyle w:val="166"/>
      </w:pPr>
      <w:r>
        <w:rPr>
          <w:rFonts w:hint="eastAsia"/>
        </w:rPr>
        <w:t>更衣室应与食品处理区在同一建筑物内，处于食品处理区入口处，为独立隔间，男女分设；应有洗手设施、通风设施、照明设施、员工个人物品储物柜、晾衣杆、晾衣架，紫外线消毒灯。</w:t>
      </w:r>
    </w:p>
    <w:p w14:paraId="4F515E3C">
      <w:pPr>
        <w:pStyle w:val="166"/>
      </w:pPr>
      <w:r>
        <w:rPr>
          <w:rFonts w:hint="eastAsia"/>
        </w:rPr>
        <w:t>食品处理区应设置足够数量的洗手设施，就餐区宜设置洗手设施。</w:t>
      </w:r>
    </w:p>
    <w:p w14:paraId="1C071792">
      <w:pPr>
        <w:pStyle w:val="166"/>
      </w:pPr>
      <w:r>
        <w:rPr>
          <w:rFonts w:hint="eastAsia"/>
        </w:rPr>
        <w:t>洗手水龙头宜采用非手触动式开关。洗手设施附近配备洗手液（皂）、消毒液、干手器等。从业人员专用洗手设施附近醒目位置应有洗手方法标识。</w:t>
      </w:r>
    </w:p>
    <w:p w14:paraId="5C57D35A">
      <w:pPr>
        <w:pStyle w:val="166"/>
      </w:pPr>
      <w:r>
        <w:rPr>
          <w:rFonts w:hint="eastAsia"/>
        </w:rPr>
        <w:t>食堂的专间应在入口处设置具备洗手、消毒、更衣设施的通过式预进间；专用操作场所应在入口处设置具备洗手、消毒、更衣设施。</w:t>
      </w:r>
    </w:p>
    <w:p w14:paraId="54BCCB15">
      <w:pPr>
        <w:pStyle w:val="106"/>
        <w:spacing w:before="156" w:after="156"/>
      </w:pPr>
      <w:r>
        <w:rPr>
          <w:rFonts w:hint="eastAsia"/>
        </w:rPr>
        <w:t>照明设施</w:t>
      </w:r>
    </w:p>
    <w:p w14:paraId="796DDE09">
      <w:pPr>
        <w:pStyle w:val="166"/>
      </w:pPr>
      <w:r>
        <w:rPr>
          <w:rFonts w:hint="eastAsia"/>
        </w:rPr>
        <w:t>食品处理区应有充足的自然采光或人工照明设施，工作面的光照强度不得低于220lux，光源不得改变食品的感官颜色。其他场所的光照强度不宜低于110lux。</w:t>
      </w:r>
    </w:p>
    <w:p w14:paraId="63BD2835">
      <w:pPr>
        <w:pStyle w:val="166"/>
      </w:pPr>
      <w:r>
        <w:rPr>
          <w:rFonts w:hint="eastAsia"/>
        </w:rPr>
        <w:t>安装在暴露食品正上方的照明灯应有防护装置，避免照明灯爆裂后污染食品。冷冻（藏）库应使用防爆灯。</w:t>
      </w:r>
    </w:p>
    <w:p w14:paraId="45E9D303">
      <w:pPr>
        <w:pStyle w:val="106"/>
        <w:spacing w:before="156" w:after="156"/>
      </w:pPr>
      <w:r>
        <w:rPr>
          <w:rFonts w:hint="eastAsia"/>
        </w:rPr>
        <w:t>库房及冷冻（藏）设施</w:t>
      </w:r>
    </w:p>
    <w:p w14:paraId="5A95B99E">
      <w:pPr>
        <w:pStyle w:val="166"/>
      </w:pPr>
      <w:r>
        <w:rPr>
          <w:rFonts w:hint="eastAsia"/>
        </w:rPr>
        <w:t>根据食品原料贮存条件，设置能满足相应要求的食品储存的场所和设施，必要时设置冷冻库、冷藏库。冷冻柜、冷藏柜有明显的区分标识，冷冻、冷藏柜（库）设有可正确显示内部温度的温度计，荤素生熟分区贮存，原料去除外包装后贮存。</w:t>
      </w:r>
    </w:p>
    <w:p w14:paraId="71B4D7B9">
      <w:pPr>
        <w:pStyle w:val="166"/>
      </w:pPr>
      <w:r>
        <w:rPr>
          <w:rFonts w:hint="eastAsia"/>
        </w:rPr>
        <w:t>食品库房应有通风、防潮及防止有害生物侵入的装置和温（湿）度检测器具。库房内应设置存放架，其结构及位置能使贮存的食品和物品离墙离地10cm。拆封后的食品应使用密闭容器存放，容器外侧应加贴原包装标签信息。</w:t>
      </w:r>
    </w:p>
    <w:p w14:paraId="07D462AB">
      <w:pPr>
        <w:pStyle w:val="106"/>
        <w:spacing w:before="156" w:after="156"/>
      </w:pPr>
      <w:r>
        <w:rPr>
          <w:rFonts w:hint="eastAsia"/>
        </w:rPr>
        <w:t>加工制作设备设施</w:t>
      </w:r>
    </w:p>
    <w:p w14:paraId="57559E80">
      <w:pPr>
        <w:pStyle w:val="166"/>
      </w:pPr>
      <w:r>
        <w:rPr>
          <w:rFonts w:hint="eastAsia"/>
        </w:rPr>
        <w:t>根据加工制作食品的需要，配备相应的设施、设备、容器、工具等。</w:t>
      </w:r>
    </w:p>
    <w:p w14:paraId="6125A76F">
      <w:pPr>
        <w:pStyle w:val="166"/>
      </w:pPr>
      <w:r>
        <w:rPr>
          <w:rFonts w:hint="eastAsia"/>
        </w:rPr>
        <w:t>设备的摆放位置，应便于操作、清洁、维护和减少交叉污染。固定安装的设备设施应安装牢固，与地面、墙壁无缝隙，或保留足够的清洁、维护空间。设备、容器和工具与食品的接触面应平滑、无凹陷或裂缝，内部角落部位避免有尖角，便于清洁，防止聚积食品碎屑、污垢等。</w:t>
      </w:r>
    </w:p>
    <w:p w14:paraId="12CAC7D6">
      <w:pPr>
        <w:pStyle w:val="106"/>
        <w:spacing w:before="156" w:after="156"/>
      </w:pPr>
      <w:r>
        <w:rPr>
          <w:rFonts w:hint="eastAsia"/>
        </w:rPr>
        <w:t>废弃物存放设施</w:t>
      </w:r>
    </w:p>
    <w:p w14:paraId="34E4A185">
      <w:pPr>
        <w:pStyle w:val="166"/>
      </w:pPr>
      <w:r>
        <w:rPr>
          <w:rFonts w:hint="eastAsia"/>
        </w:rPr>
        <w:t>食品处理区内可能产生废弃物的区域，应设置废弃物存放容器。废弃物存放容器与食品加工制作容器应有明显的区分标识。</w:t>
      </w:r>
    </w:p>
    <w:p w14:paraId="65392FC5">
      <w:pPr>
        <w:pStyle w:val="166"/>
      </w:pPr>
      <w:r>
        <w:rPr>
          <w:rFonts w:hint="eastAsia"/>
        </w:rPr>
        <w:t>废弃物存放容器应配盖，防止有害生物侵入、不良气味或污水溢出，防止污染食品、水源、地面、食品接触面（包括接触食品的工作台面、工具、容器、包装材料等）。废弃物存放容器的内壁光滑，易于清洁。</w:t>
      </w:r>
    </w:p>
    <w:p w14:paraId="160A8C52">
      <w:pPr>
        <w:pStyle w:val="105"/>
        <w:spacing w:before="312" w:after="312"/>
      </w:pPr>
      <w:bookmarkStart w:id="48" w:name="_Toc155701222"/>
      <w:r>
        <w:rPr>
          <w:rFonts w:hint="eastAsia"/>
        </w:rPr>
        <w:t>有害生物防制</w:t>
      </w:r>
      <w:bookmarkEnd w:id="48"/>
    </w:p>
    <w:p w14:paraId="403D8039">
      <w:pPr>
        <w:pStyle w:val="106"/>
        <w:spacing w:before="156" w:after="156"/>
      </w:pPr>
      <w:r>
        <w:rPr>
          <w:rFonts w:hint="eastAsia"/>
        </w:rPr>
        <w:t>防控种类及原则</w:t>
      </w:r>
    </w:p>
    <w:p w14:paraId="49CEE185">
      <w:pPr>
        <w:pStyle w:val="57"/>
        <w:ind w:firstLine="420"/>
      </w:pPr>
      <w:r>
        <w:rPr>
          <w:rFonts w:hint="eastAsia"/>
        </w:rPr>
        <w:t>学校食堂涉及的病媒生物主要为蚊、蝇、蜚蠊（蟑螂）和啮齿动物的鼠类。病媒生物防制以食品、人员、环境安全为前提，采取预防为主的控制措施，优先选用物理防治，必要时限制性使用化学防治，有效控制病媒生物危害。</w:t>
      </w:r>
    </w:p>
    <w:p w14:paraId="772187D3">
      <w:pPr>
        <w:pStyle w:val="106"/>
        <w:spacing w:before="156" w:after="156"/>
      </w:pPr>
      <w:r>
        <w:rPr>
          <w:rFonts w:hint="eastAsia"/>
        </w:rPr>
        <w:t>苍蝇防制要求</w:t>
      </w:r>
    </w:p>
    <w:p w14:paraId="76AE14F7">
      <w:pPr>
        <w:pStyle w:val="57"/>
        <w:ind w:firstLine="420"/>
      </w:pPr>
      <w:r>
        <w:rPr>
          <w:rFonts w:hint="eastAsia"/>
        </w:rPr>
        <w:t>食堂与外界相通的门窗及通风口等苍蝇可以入室的出入口均应安装防蝇设施。</w:t>
      </w:r>
    </w:p>
    <w:p w14:paraId="62339EA1">
      <w:pPr>
        <w:pStyle w:val="175"/>
        <w:numPr>
          <w:ilvl w:val="0"/>
          <w:numId w:val="32"/>
        </w:numPr>
      </w:pPr>
      <w:r>
        <w:rPr>
          <w:rFonts w:hint="eastAsia"/>
        </w:rPr>
        <w:t>防蝇帘：防蝇帘为胶条式或磁吸式，防蝇帘应覆盖整个门框，末端与地面的垂直距离小于2cm，不接地。胶条式门帘的帘条间要有不小于2cm的重叠。</w:t>
      </w:r>
    </w:p>
    <w:p w14:paraId="56645ADE">
      <w:pPr>
        <w:pStyle w:val="175"/>
      </w:pPr>
      <w:r>
        <w:rPr>
          <w:rFonts w:hint="eastAsia"/>
        </w:rPr>
        <w:t>防蝇风幕机：防蝇风幕机安装在门楣处完整覆盖出入通道并适时开启，风向垂直于地面或向外倾斜，地面处风速应大于4m/s。</w:t>
      </w:r>
    </w:p>
    <w:p w14:paraId="2D62842B">
      <w:pPr>
        <w:pStyle w:val="175"/>
      </w:pPr>
      <w:r>
        <w:rPr>
          <w:rFonts w:hint="eastAsia"/>
        </w:rPr>
        <w:t>防蝇纱窗：防蝇纱窗和窗框间接触紧密无缝隙，纱网不小于16号。</w:t>
      </w:r>
    </w:p>
    <w:p w14:paraId="32A566C9">
      <w:pPr>
        <w:pStyle w:val="175"/>
      </w:pPr>
      <w:r>
        <w:rPr>
          <w:rFonts w:hint="eastAsia"/>
        </w:rPr>
        <w:t>排风或通风口网罩：排风或通风口应安装金属网罩，网眼不得超过6mm。</w:t>
      </w:r>
    </w:p>
    <w:p w14:paraId="5F1B6A69">
      <w:pPr>
        <w:pStyle w:val="175"/>
      </w:pPr>
      <w:r>
        <w:rPr>
          <w:rFonts w:hint="eastAsia"/>
        </w:rPr>
        <w:t>灭蝇灯：食堂应在食品处理区、就餐区安装粘捕式灭蝇灯，尽量安装在四周可见其灯光且远离竞争光源（如窗户或人工照明）处。灭蝇灯距入口距离不少于3.6m，安装高度底部离地面1.8-2m。</w:t>
      </w:r>
    </w:p>
    <w:p w14:paraId="74B68851">
      <w:pPr>
        <w:pStyle w:val="106"/>
        <w:spacing w:before="156" w:after="156"/>
      </w:pPr>
      <w:r>
        <w:rPr>
          <w:rFonts w:hint="eastAsia"/>
        </w:rPr>
        <w:t>蟑螂防制要求</w:t>
      </w:r>
    </w:p>
    <w:p w14:paraId="52A5F853">
      <w:pPr>
        <w:pStyle w:val="166"/>
      </w:pPr>
      <w:r>
        <w:rPr>
          <w:rFonts w:hint="eastAsia"/>
        </w:rPr>
        <w:t>保持环境整洁，及时清理散落、残存的食物，清除垃圾、杂物，清理卫生死角。</w:t>
      </w:r>
    </w:p>
    <w:p w14:paraId="798991A3">
      <w:pPr>
        <w:pStyle w:val="166"/>
      </w:pPr>
      <w:r>
        <w:rPr>
          <w:rFonts w:hint="eastAsia"/>
        </w:rPr>
        <w:t>堵塞封闭墙壁、门框、窗台、下水道等处的缝隙以及水管、煤气管道等通过的孔眼。</w:t>
      </w:r>
    </w:p>
    <w:p w14:paraId="460C2776">
      <w:pPr>
        <w:pStyle w:val="166"/>
      </w:pPr>
      <w:r>
        <w:rPr>
          <w:rFonts w:hint="eastAsia"/>
        </w:rPr>
        <w:t>食堂操作场所尽量减少木质材质使用。</w:t>
      </w:r>
    </w:p>
    <w:p w14:paraId="58841772">
      <w:pPr>
        <w:pStyle w:val="106"/>
        <w:spacing w:before="156" w:after="156"/>
      </w:pPr>
      <w:r>
        <w:rPr>
          <w:rFonts w:hint="eastAsia"/>
        </w:rPr>
        <w:t>老鼠防制要求</w:t>
      </w:r>
    </w:p>
    <w:p w14:paraId="59E608B0">
      <w:pPr>
        <w:pStyle w:val="166"/>
      </w:pPr>
      <w:r>
        <w:rPr>
          <w:rFonts w:hint="eastAsia"/>
        </w:rPr>
        <w:t>加强环境治理，保持环境整洁，及时清运餐厨废弃物等垃圾。</w:t>
      </w:r>
    </w:p>
    <w:p w14:paraId="0E2AE3F9">
      <w:pPr>
        <w:pStyle w:val="166"/>
      </w:pPr>
      <w:r>
        <w:t>食品处理区与外界直接相通的门能自动关闭，人员、货物进出通道及原辅料仓库设有防鼠板等防鼠设施且完好，防鼠板与插槽、地面的缝隙小于6mm，防鼠板高度不低于60cm。</w:t>
      </w:r>
    </w:p>
    <w:p w14:paraId="4607D5ED">
      <w:pPr>
        <w:pStyle w:val="166"/>
      </w:pPr>
      <w:r>
        <w:rPr>
          <w:rFonts w:hint="eastAsia"/>
        </w:rPr>
        <w:t>厨房操作间下水道出水口应设置金属材质的竖或横箅子，箅子缝小于1.0cm。</w:t>
      </w:r>
      <w:r>
        <w:t>使用水封式地漏。</w:t>
      </w:r>
    </w:p>
    <w:p w14:paraId="0A8F607D">
      <w:pPr>
        <w:pStyle w:val="166"/>
      </w:pPr>
      <w:r>
        <w:rPr>
          <w:rFonts w:hint="eastAsia"/>
        </w:rPr>
        <w:t>与外界相通的排气扇、通气孔、排水孔等各种管口要加装网眼不超过0.6cm的金属网。</w:t>
      </w:r>
    </w:p>
    <w:p w14:paraId="673CC294">
      <w:pPr>
        <w:pStyle w:val="166"/>
      </w:pPr>
      <w:r>
        <w:rPr>
          <w:rFonts w:hint="eastAsia"/>
        </w:rPr>
        <w:t>所有的管道和电缆通过墙壁的地方都要用水泥抹平缝隙，对不能堵塞的孔洞要用铁丝网或用清洁用钢丝球封堵。</w:t>
      </w:r>
    </w:p>
    <w:p w14:paraId="4A7D91A0">
      <w:pPr>
        <w:pStyle w:val="105"/>
        <w:spacing w:before="312" w:after="312"/>
      </w:pPr>
      <w:bookmarkStart w:id="49" w:name="_Toc155701223"/>
      <w:r>
        <w:rPr>
          <w:rFonts w:hint="eastAsia"/>
        </w:rPr>
        <w:t>人员管理</w:t>
      </w:r>
      <w:bookmarkEnd w:id="49"/>
    </w:p>
    <w:p w14:paraId="73909A9E">
      <w:pPr>
        <w:pStyle w:val="106"/>
        <w:spacing w:before="156" w:after="156"/>
      </w:pPr>
      <w:r>
        <w:rPr>
          <w:rFonts w:hint="eastAsia"/>
        </w:rPr>
        <w:t>人员要求</w:t>
      </w:r>
    </w:p>
    <w:p w14:paraId="6C26FB9B">
      <w:pPr>
        <w:pStyle w:val="166"/>
      </w:pPr>
      <w:r>
        <w:rPr>
          <w:rFonts w:hint="eastAsia"/>
        </w:rPr>
        <w:t>学校食堂从业人员宜具有初中以上学历，厨师、面点师应持有职业资格证书，无食品安全事故和违法记录。</w:t>
      </w:r>
    </w:p>
    <w:p w14:paraId="012CD604">
      <w:pPr>
        <w:pStyle w:val="166"/>
      </w:pPr>
      <w:r>
        <w:rPr>
          <w:rFonts w:hint="eastAsia"/>
        </w:rPr>
        <w:t>不得聘用有食品安全违法犯罪史人员</w:t>
      </w:r>
      <w:r>
        <w:rPr>
          <w:rFonts w:hint="eastAsia"/>
          <w:color w:val="FF0000"/>
        </w:rPr>
        <w:t>、</w:t>
      </w:r>
      <w:r>
        <w:rPr>
          <w:rFonts w:hint="eastAsia"/>
        </w:rPr>
        <w:t>有不良思想倾向及行为、精神异常或偏激等现象的人员。聘用后发现从业人员有不良思想倾向及行为、精神异常等现象的，应立即进行思想辅导，并调离工作岗位。</w:t>
      </w:r>
    </w:p>
    <w:p w14:paraId="16F18B9F">
      <w:pPr>
        <w:pStyle w:val="106"/>
        <w:spacing w:before="156" w:after="156"/>
      </w:pPr>
      <w:r>
        <w:rPr>
          <w:rFonts w:hint="eastAsia"/>
        </w:rPr>
        <w:t>健康管理</w:t>
      </w:r>
    </w:p>
    <w:p w14:paraId="31BD83DC">
      <w:pPr>
        <w:pStyle w:val="57"/>
        <w:ind w:firstLine="420"/>
      </w:pPr>
      <w:r>
        <w:rPr>
          <w:rFonts w:hint="eastAsia"/>
        </w:rPr>
        <w:t>从事接触直接入口食品工作的从业人员（包括新参加和临时参加工作的从业人员，下同）应取得健康证明后方可上岗，并每年进行健康检查取得健康证明，必要时应进行临时健康检查。</w:t>
      </w:r>
    </w:p>
    <w:p w14:paraId="312DC4F0">
      <w:pPr>
        <w:pStyle w:val="106"/>
        <w:spacing w:before="156" w:after="156"/>
      </w:pPr>
      <w:r>
        <w:rPr>
          <w:rFonts w:hint="eastAsia"/>
        </w:rPr>
        <w:t>人员晨检</w:t>
      </w:r>
    </w:p>
    <w:p w14:paraId="60E4705F">
      <w:pPr>
        <w:pStyle w:val="57"/>
        <w:ind w:firstLine="420"/>
      </w:pPr>
      <w:r>
        <w:rPr>
          <w:rFonts w:hint="eastAsia"/>
        </w:rPr>
        <w:t>食品安全管理员应在每餐次上岗前，对食堂从业人员进行上岗前健康检查工作，出现咳嗽、腹泻、发热、呕吐等病症及皮肤有伤口或感染时，应及时调离工作岗位并主动报告学校，待查明原因并将有碍食品安全的疾病治愈后方可重新上岗。</w:t>
      </w:r>
    </w:p>
    <w:p w14:paraId="4DBB6E14">
      <w:pPr>
        <w:pStyle w:val="106"/>
        <w:spacing w:before="156" w:after="156"/>
      </w:pPr>
      <w:r>
        <w:rPr>
          <w:rFonts w:hint="eastAsia"/>
        </w:rPr>
        <w:t>个人卫生</w:t>
      </w:r>
    </w:p>
    <w:p w14:paraId="3FA2B8DD">
      <w:pPr>
        <w:pStyle w:val="166"/>
      </w:pPr>
      <w:r>
        <w:rPr>
          <w:rFonts w:hint="eastAsia"/>
        </w:rPr>
        <w:t>从业人员在加工操作时应养成良好的卫生习惯，保持良好的卫生状态。在操作前、接触污染源后应洗手；进入专间前应洗手并消毒。</w:t>
      </w:r>
    </w:p>
    <w:p w14:paraId="1BEBA554">
      <w:pPr>
        <w:pStyle w:val="166"/>
      </w:pPr>
      <w:r>
        <w:rPr>
          <w:rFonts w:hint="eastAsia"/>
        </w:rPr>
        <w:t>从业人员应保持良好的个人卫生，不留长指甲、不涂指甲油。加工食品时，必须正确穿戴清洁卫生的工作衣帽，工作帽应能将头发全部遮盖住。个人生活用品不得带入食品处理区。</w:t>
      </w:r>
    </w:p>
    <w:p w14:paraId="371C0CE4">
      <w:pPr>
        <w:pStyle w:val="166"/>
      </w:pPr>
      <w:r>
        <w:rPr>
          <w:rFonts w:hint="eastAsia"/>
        </w:rPr>
        <w:t>专间操作人员进出专间时，应严格注意个人卫生，操作前二次更衣，更衣后洗手消毒，及时更换专间专用工作衣帽。戴上口罩，且将口罩掩住口鼻。不得穿戴专间工作衣帽从事与专间操作无关的工作。</w:t>
      </w:r>
    </w:p>
    <w:p w14:paraId="42776A3F">
      <w:pPr>
        <w:pStyle w:val="106"/>
        <w:spacing w:before="156" w:after="156"/>
      </w:pPr>
      <w:r>
        <w:rPr>
          <w:rFonts w:hint="eastAsia"/>
        </w:rPr>
        <w:t>人员培训</w:t>
      </w:r>
    </w:p>
    <w:p w14:paraId="7D5DCB7E">
      <w:pPr>
        <w:pStyle w:val="57"/>
        <w:ind w:firstLine="420"/>
      </w:pPr>
      <w:r>
        <w:rPr>
          <w:rFonts w:hint="eastAsia"/>
        </w:rPr>
        <w:t>学校应每学期对其从业人员开展一次食品安全知识培训考核，突出厨师、面点师等重点岗位人员专业技术培训，在相关部门的指导下，开展食品安全、营养配餐、职业道德和法制等方面的教育培训。学校应建立从业人员培训和考核档案，如实记录从业人员培训考核信息。</w:t>
      </w:r>
    </w:p>
    <w:p w14:paraId="2F4D1900">
      <w:pPr>
        <w:pStyle w:val="105"/>
        <w:spacing w:before="312" w:after="312"/>
      </w:pPr>
      <w:bookmarkStart w:id="50" w:name="_Toc155701224"/>
      <w:r>
        <w:rPr>
          <w:rFonts w:hint="eastAsia"/>
        </w:rPr>
        <w:t>过程控制</w:t>
      </w:r>
      <w:bookmarkEnd w:id="50"/>
    </w:p>
    <w:p w14:paraId="621F4666">
      <w:pPr>
        <w:pStyle w:val="106"/>
        <w:spacing w:before="156" w:after="156"/>
      </w:pPr>
      <w:r>
        <w:rPr>
          <w:rFonts w:hint="eastAsia"/>
        </w:rPr>
        <w:t>食品原料管理</w:t>
      </w:r>
    </w:p>
    <w:p w14:paraId="13EF1C8D">
      <w:pPr>
        <w:pStyle w:val="66"/>
        <w:spacing w:before="156" w:after="156"/>
      </w:pPr>
      <w:r>
        <w:rPr>
          <w:rFonts w:hint="eastAsia"/>
        </w:rPr>
        <w:t>原料采购</w:t>
      </w:r>
    </w:p>
    <w:p w14:paraId="77A1BAF0">
      <w:pPr>
        <w:pStyle w:val="165"/>
      </w:pPr>
      <w:r>
        <w:rPr>
          <w:rFonts w:hint="eastAsia"/>
        </w:rPr>
        <w:t>应制定并实施食品、食品添加剂及食品相关产品采购控制要求，采购依法取得许可资质的供货者生产经营的食品、食品添加剂及食品相关产品，不应采购法律、法规禁止生产经营的食品、食品添加剂及食品相关产品。</w:t>
      </w:r>
    </w:p>
    <w:p w14:paraId="347BC25D">
      <w:pPr>
        <w:pStyle w:val="165"/>
      </w:pPr>
      <w:r>
        <w:rPr>
          <w:rFonts w:hint="eastAsia"/>
        </w:rPr>
        <w:t>应建立供货者评价和退出机制，对供货者的食品安全状况等进行评价，将符合食品安全管理要求的列入供货者名单，及时更换不符合要求的供货者。</w:t>
      </w:r>
    </w:p>
    <w:p w14:paraId="4FE450DE">
      <w:pPr>
        <w:pStyle w:val="165"/>
      </w:pPr>
      <w:r>
        <w:rPr>
          <w:rFonts w:hint="eastAsia"/>
        </w:rPr>
        <w:t>应自行或委托第三方机构定期对供货者食品安全状况进行现场评价。</w:t>
      </w:r>
    </w:p>
    <w:p w14:paraId="78592B23">
      <w:pPr>
        <w:pStyle w:val="66"/>
        <w:spacing w:before="156" w:after="156"/>
      </w:pPr>
      <w:r>
        <w:rPr>
          <w:rFonts w:hint="eastAsia"/>
        </w:rPr>
        <w:t>进货查验</w:t>
      </w:r>
    </w:p>
    <w:p w14:paraId="23DF2220">
      <w:pPr>
        <w:pStyle w:val="165"/>
      </w:pPr>
      <w:r>
        <w:rPr>
          <w:rFonts w:hint="eastAsia"/>
        </w:rPr>
        <w:t>从食品生产者采购食品的，查验并留存其食品生产许可证复印件和产品合格证明文件。</w:t>
      </w:r>
    </w:p>
    <w:p w14:paraId="62BB9EA0">
      <w:pPr>
        <w:pStyle w:val="165"/>
      </w:pPr>
      <w:r>
        <w:rPr>
          <w:rFonts w:hint="eastAsia"/>
        </w:rPr>
        <w:t>从食品销售者采购食品的，查验并留存其食品经营许可证（或仅销售预包装食品备案凭证）复印件和产品合格证明文件。</w:t>
      </w:r>
    </w:p>
    <w:p w14:paraId="45C4F26B">
      <w:pPr>
        <w:pStyle w:val="165"/>
      </w:pPr>
      <w:r>
        <w:rPr>
          <w:rFonts w:hint="eastAsia"/>
        </w:rPr>
        <w:t>采购食品添加剂、食品相关产品的，查验并留存供货者的营业执照复印件和产品合格证明文件。</w:t>
      </w:r>
    </w:p>
    <w:p w14:paraId="4974F909">
      <w:pPr>
        <w:pStyle w:val="165"/>
      </w:pPr>
      <w:r>
        <w:rPr>
          <w:rFonts w:hint="eastAsia"/>
        </w:rPr>
        <w:t>采购食用农产品的，从食用农产品生产者直接采购的，应当查验并留存其营业执照或者身份证复印件；从集中交易市场采购食用农产品的，应当索取并留存由市场开办者或者经营者加盖公章（或者负责人签字）的购货凭证。查验并留存食用农产品的承诺达标合格证或者其他产品质量合格凭证。采购按照规定应当检疫、检验的肉类，查验并留存动物检疫合格证明、肉品品质检验合格证等证明文件。采购进口食用农产品，查验并留存海关部门出具的入境货物检验检疫证明等证明文件。</w:t>
      </w:r>
    </w:p>
    <w:p w14:paraId="1C6E3F07">
      <w:pPr>
        <w:pStyle w:val="165"/>
      </w:pPr>
      <w:r>
        <w:rPr>
          <w:rFonts w:hint="eastAsia"/>
        </w:rPr>
        <w:t>食品原料应具有正常的感官性状，无腐败、变质、污染等现象；预包装食品应包装完整、清洁、无破损，内容物与产品标识应一致；冷冻食品无解冻后再次冷冻情形；食品标签标识完整、清晰，载明的事项应符合食品安全标准和要求。</w:t>
      </w:r>
    </w:p>
    <w:p w14:paraId="451AA1F1">
      <w:pPr>
        <w:pStyle w:val="165"/>
      </w:pPr>
      <w:r>
        <w:rPr>
          <w:rFonts w:hint="eastAsia"/>
        </w:rPr>
        <w:t>应尽可能缩短冷冻（藏）食品的验收时间，减少其温度变化。</w:t>
      </w:r>
    </w:p>
    <w:p w14:paraId="358A9FF1">
      <w:pPr>
        <w:pStyle w:val="165"/>
      </w:pPr>
      <w:r>
        <w:rPr>
          <w:rFonts w:hint="eastAsia"/>
        </w:rPr>
        <w:t>应当建立食品进货查验记录制度，如实记录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012854DE">
      <w:pPr>
        <w:pStyle w:val="66"/>
        <w:spacing w:before="156" w:after="156"/>
      </w:pPr>
      <w:r>
        <w:rPr>
          <w:rFonts w:hint="eastAsia"/>
        </w:rPr>
        <w:t>原料贮存</w:t>
      </w:r>
    </w:p>
    <w:p w14:paraId="14E3BD64">
      <w:pPr>
        <w:pStyle w:val="165"/>
      </w:pPr>
      <w:r>
        <w:rPr>
          <w:rFonts w:hint="eastAsia"/>
        </w:rPr>
        <w:t>食品与非食品库房应分设，食品库房不得存放有毒、有害物品。</w:t>
      </w:r>
    </w:p>
    <w:p w14:paraId="202F09C4">
      <w:pPr>
        <w:pStyle w:val="165"/>
      </w:pPr>
      <w:r>
        <w:rPr>
          <w:rFonts w:hint="eastAsia"/>
        </w:rPr>
        <w:t>应当按照保证食品安全的要求贮存食品，做到通风、防潮、防霉、防蝇、防鼠、防虫，贮存过程应符合保证食品安全所需的温度、湿度等特殊要求。</w:t>
      </w:r>
    </w:p>
    <w:p w14:paraId="64953F94">
      <w:pPr>
        <w:pStyle w:val="165"/>
      </w:pPr>
      <w:r>
        <w:rPr>
          <w:rFonts w:hint="eastAsia"/>
        </w:rPr>
        <w:t>应分区、分架贮存，应分隔或者分离贮存不同类型的食品原料，与墙壁、地面保持适当距离（10cm以上）。</w:t>
      </w:r>
    </w:p>
    <w:p w14:paraId="4E52C324">
      <w:pPr>
        <w:pStyle w:val="165"/>
      </w:pPr>
      <w:r>
        <w:rPr>
          <w:rFonts w:hint="eastAsia"/>
        </w:rPr>
        <w:t>散装食品（食用农产品除外）贮存位置应标明食品的名称、生产日期或者生产批号、使用期限等内容，宜使用密闭容器贮存。</w:t>
      </w:r>
    </w:p>
    <w:p w14:paraId="5AFF481C">
      <w:pPr>
        <w:pStyle w:val="165"/>
      </w:pPr>
      <w:r>
        <w:rPr>
          <w:rFonts w:hint="eastAsia"/>
        </w:rPr>
        <w:t>按照先进、先出、先用的原则，使用食品原料、食品添加剂和食品相关产品。存在感官性状异常、超过保质期等情形的，应及时清理。</w:t>
      </w:r>
    </w:p>
    <w:p w14:paraId="5B75113E">
      <w:pPr>
        <w:pStyle w:val="165"/>
      </w:pPr>
      <w:r>
        <w:rPr>
          <w:rFonts w:hint="eastAsia"/>
        </w:rPr>
        <w:t>变质、超过保质期或者回收的食品应显著标示或者单独存放在有明确标志的场所，及时采取无害化处理、销毁等措施，并按规定记录。</w:t>
      </w:r>
    </w:p>
    <w:p w14:paraId="2E28BF44">
      <w:pPr>
        <w:pStyle w:val="66"/>
        <w:spacing w:before="156" w:after="156"/>
      </w:pPr>
      <w:r>
        <w:rPr>
          <w:rFonts w:hint="eastAsia"/>
        </w:rPr>
        <w:t>食品加工过程</w:t>
      </w:r>
    </w:p>
    <w:p w14:paraId="23DE8901">
      <w:pPr>
        <w:pStyle w:val="95"/>
        <w:spacing w:before="156" w:after="156"/>
      </w:pPr>
      <w:r>
        <w:rPr>
          <w:rFonts w:hint="eastAsia"/>
        </w:rPr>
        <w:t>基本要求</w:t>
      </w:r>
    </w:p>
    <w:p w14:paraId="4B4E4EAE">
      <w:pPr>
        <w:pStyle w:val="168"/>
      </w:pPr>
      <w:r>
        <w:rPr>
          <w:rFonts w:hint="eastAsia"/>
        </w:rPr>
        <w:t>不在食品处理区内从事可能污染食品的活动。不在食品处理区外从事食品加工。</w:t>
      </w:r>
    </w:p>
    <w:p w14:paraId="77587F8B">
      <w:pPr>
        <w:pStyle w:val="168"/>
      </w:pPr>
      <w:r>
        <w:rPr>
          <w:rFonts w:hint="eastAsia"/>
        </w:rPr>
        <w:t>加工前应对待加工食品进行感官检查，发现有腐败变质、混有异物或者其他感官性状异常等情形的，不应使用。</w:t>
      </w:r>
    </w:p>
    <w:p w14:paraId="49AE1B2D">
      <w:pPr>
        <w:pStyle w:val="168"/>
      </w:pPr>
      <w:r>
        <w:rPr>
          <w:rFonts w:hint="eastAsia"/>
        </w:rPr>
        <w:t>接触食品的容器和工具不应直接放置在地面上或者接触不洁物。</w:t>
      </w:r>
    </w:p>
    <w:p w14:paraId="6F619E09">
      <w:pPr>
        <w:pStyle w:val="168"/>
      </w:pPr>
      <w:r>
        <w:rPr>
          <w:rFonts w:hint="eastAsia"/>
        </w:rPr>
        <w:t>不应在餐饮服务场所内饲养、暂养和宰杀畜禽。</w:t>
      </w:r>
    </w:p>
    <w:p w14:paraId="7DDE7C5C">
      <w:pPr>
        <w:pStyle w:val="95"/>
        <w:spacing w:before="156" w:after="156"/>
      </w:pPr>
      <w:r>
        <w:rPr>
          <w:rFonts w:hint="eastAsia"/>
        </w:rPr>
        <w:t>初加工</w:t>
      </w:r>
    </w:p>
    <w:p w14:paraId="2F713A6B">
      <w:pPr>
        <w:pStyle w:val="168"/>
      </w:pPr>
      <w:r>
        <w:rPr>
          <w:rFonts w:hint="eastAsia"/>
        </w:rPr>
        <w:t>用于加工动物性食品原料、植物性食品原料、水产品原料、半成品或者成品等的容器、工具应当从形状、材质、颜色、标识上明显区分，做到分开使用，固定存放，用后洗净并保持清洁。</w:t>
      </w:r>
    </w:p>
    <w:p w14:paraId="32D2B1B5">
      <w:pPr>
        <w:pStyle w:val="168"/>
      </w:pPr>
      <w:r>
        <w:rPr>
          <w:rFonts w:hint="eastAsia"/>
        </w:rPr>
        <w:t>食品原料加工前应洗净。未经事先清洁的禽蛋使用</w:t>
      </w:r>
      <w:bookmarkStart w:id="57" w:name="_GoBack"/>
      <w:bookmarkEnd w:id="57"/>
      <w:r>
        <w:rPr>
          <w:rFonts w:hint="eastAsia"/>
        </w:rPr>
        <w:t>前，应清洁外売，必要时消毒。混合搅拌而成的蛋液宜尽快用完。</w:t>
      </w:r>
    </w:p>
    <w:p w14:paraId="159EBFA0">
      <w:pPr>
        <w:pStyle w:val="168"/>
      </w:pPr>
      <w:r>
        <w:rPr>
          <w:rFonts w:hint="eastAsia"/>
        </w:rPr>
        <w:t>经过初加工的食品应当做好防护，防止污染。经过初加工的易腐食品应及时使用或者冷藏、冷冻。冷冻(藏)易腐食品从冷柜（库）中取出或者解冻后，应及时加工使用，避免反复解冻。</w:t>
      </w:r>
    </w:p>
    <w:p w14:paraId="345DF458">
      <w:pPr>
        <w:pStyle w:val="168"/>
      </w:pPr>
      <w:r>
        <w:rPr>
          <w:rFonts w:hint="eastAsia"/>
        </w:rPr>
        <w:t>切配好的半成品应避免污染，与原料分开存放，并应根据性质分类存放、及时使用。</w:t>
      </w:r>
    </w:p>
    <w:p w14:paraId="4C65B8FA">
      <w:pPr>
        <w:pStyle w:val="95"/>
        <w:spacing w:before="156" w:after="156"/>
      </w:pPr>
      <w:r>
        <w:rPr>
          <w:rFonts w:hint="eastAsia"/>
        </w:rPr>
        <w:t>烹饪</w:t>
      </w:r>
    </w:p>
    <w:p w14:paraId="220CC9FF">
      <w:pPr>
        <w:pStyle w:val="168"/>
      </w:pPr>
      <w:r>
        <w:rPr>
          <w:rFonts w:hint="eastAsia"/>
        </w:rPr>
        <w:t>食品烹饪的温度和时问应能保证食品安全。需要烧熟煮透的食品，加工时食品的中心温度应达到70℃以上，加工时食品的中心温度低于70℃的，应严格控制原料质量安全或者采取其他措施（如延长烹饪时间等），确保食品安全。</w:t>
      </w:r>
    </w:p>
    <w:p w14:paraId="657BB439">
      <w:pPr>
        <w:pStyle w:val="168"/>
      </w:pPr>
      <w:r>
        <w:rPr>
          <w:rFonts w:hint="eastAsia"/>
        </w:rPr>
        <w:t>应尽可能减少食品在烹饪过程中产生有害物质。煎炸用油不符合食品安全要求的，应及时更换。</w:t>
      </w:r>
    </w:p>
    <w:p w14:paraId="0C156843">
      <w:pPr>
        <w:pStyle w:val="168"/>
      </w:pPr>
      <w:r>
        <w:rPr>
          <w:rFonts w:hint="eastAsia"/>
        </w:rPr>
        <w:t>烹任后的易腐食品，在冷藏温度（8℃）以上、热藏温度（60℃）以下的存放时间不应超过2小时。</w:t>
      </w:r>
    </w:p>
    <w:p w14:paraId="7AC380E3">
      <w:pPr>
        <w:pStyle w:val="95"/>
        <w:spacing w:before="156" w:after="156"/>
      </w:pPr>
      <w:r>
        <w:rPr>
          <w:rFonts w:hint="eastAsia"/>
        </w:rPr>
        <w:t>食品供餐管理</w:t>
      </w:r>
    </w:p>
    <w:p w14:paraId="056402C2">
      <w:pPr>
        <w:pStyle w:val="168"/>
      </w:pPr>
      <w:r>
        <w:rPr>
          <w:rFonts w:hint="eastAsia"/>
        </w:rPr>
        <w:t>学校食堂的备餐宜在专间内进行。备餐间入口处应设置洗手、更衣设施，洗手设施旁配备洗手消毒液并张贴洗手方法标识。</w:t>
      </w:r>
    </w:p>
    <w:p w14:paraId="6CAE59C0">
      <w:pPr>
        <w:pStyle w:val="168"/>
      </w:pPr>
      <w:r>
        <w:rPr>
          <w:rFonts w:hint="eastAsia"/>
        </w:rPr>
        <w:t>每餐供餐前，应对备餐间的空气进行消毒。分餐的工具和容器使用前应清洗消毒。</w:t>
      </w:r>
    </w:p>
    <w:p w14:paraId="7315398A">
      <w:pPr>
        <w:pStyle w:val="168"/>
      </w:pPr>
      <w:r>
        <w:rPr>
          <w:rFonts w:hint="eastAsia"/>
        </w:rPr>
        <w:t>供餐过程中应采取有效防护措施，避免食品受到污染。及时关闭备餐间的门和食品传递窗口。</w:t>
      </w:r>
    </w:p>
    <w:p w14:paraId="100D32B9">
      <w:pPr>
        <w:pStyle w:val="168"/>
      </w:pPr>
      <w:r>
        <w:rPr>
          <w:rFonts w:hint="eastAsia"/>
        </w:rPr>
        <w:t>中小学校食堂不得剩饭、剩菜回收后再加工供应。</w:t>
      </w:r>
    </w:p>
    <w:p w14:paraId="1165E159">
      <w:pPr>
        <w:pStyle w:val="168"/>
      </w:pPr>
      <w:r>
        <w:rPr>
          <w:rFonts w:hint="eastAsia"/>
        </w:rPr>
        <w:t>中小学、幼儿园食堂不得制售冷荤类食品、生食类食品、裱花蛋糕，不得加工制作四季豆、鲜黄花菜、野生蘑菇、发芽土豆等高风险食品。</w:t>
      </w:r>
    </w:p>
    <w:p w14:paraId="6DD41CCE">
      <w:pPr>
        <w:pStyle w:val="95"/>
        <w:spacing w:before="156" w:after="156"/>
      </w:pPr>
      <w:r>
        <w:rPr>
          <w:rFonts w:hint="eastAsia"/>
        </w:rPr>
        <w:t>食品留样管理</w:t>
      </w:r>
    </w:p>
    <w:p w14:paraId="1505CFF8">
      <w:pPr>
        <w:pStyle w:val="99"/>
        <w:spacing w:before="156" w:after="156"/>
      </w:pPr>
      <w:r>
        <w:rPr>
          <w:rFonts w:hint="eastAsia"/>
        </w:rPr>
        <w:t>基本要求</w:t>
      </w:r>
    </w:p>
    <w:p w14:paraId="353C6AA7">
      <w:pPr>
        <w:pStyle w:val="57"/>
        <w:ind w:firstLine="420"/>
      </w:pPr>
      <w:r>
        <w:rPr>
          <w:rFonts w:hint="eastAsia"/>
        </w:rPr>
        <w:t>应建立食品留样制度，中小学、幼儿园食堂应当对每餐次加工制作的每种食品成品进行留样。高等学校食堂加工制作的大型活动集体用餐、批量制售的热食、非即做及售的热食、冷食类食品、生食类食品、裱花蛋糕应当按照规定进行留样。</w:t>
      </w:r>
    </w:p>
    <w:p w14:paraId="3CAB62F1">
      <w:pPr>
        <w:pStyle w:val="57"/>
        <w:ind w:firstLine="420"/>
      </w:pPr>
      <w:r>
        <w:rPr>
          <w:rFonts w:hint="eastAsia"/>
        </w:rPr>
        <w:t>留样的食品样品应在当餐加工终止时进行逐一采集，不得单独进行特殊制作。</w:t>
      </w:r>
    </w:p>
    <w:p w14:paraId="6FC928E9">
      <w:pPr>
        <w:pStyle w:val="57"/>
        <w:ind w:firstLine="420"/>
      </w:pPr>
      <w:r>
        <w:rPr>
          <w:rFonts w:hint="eastAsia"/>
        </w:rPr>
        <w:t>食品留样应配备专用称量工具，每个品种的留样量应不少于125g，留样时间不少于48小时。</w:t>
      </w:r>
    </w:p>
    <w:p w14:paraId="6B273951">
      <w:pPr>
        <w:pStyle w:val="57"/>
        <w:ind w:firstLine="420"/>
      </w:pPr>
      <w:r>
        <w:rPr>
          <w:rFonts w:hint="eastAsia"/>
        </w:rPr>
        <w:t>留样样品的采集和保管必须由专人负责，留样应按照品种分别盛放在经消毒的专用容器，密闭并加贴标签，及时存放于留样专用冷藏柜，不得混装。食品留样冰箱严禁存放其他物品。</w:t>
      </w:r>
    </w:p>
    <w:p w14:paraId="51572707">
      <w:pPr>
        <w:pStyle w:val="57"/>
        <w:ind w:firstLine="420"/>
      </w:pPr>
      <w:r>
        <w:rPr>
          <w:rFonts w:hint="eastAsia"/>
        </w:rPr>
        <w:t>负责留样的人员应当及时做好留样记录，包括留样量、留样时间、食品名称、餐次、留样人等信息。</w:t>
      </w:r>
    </w:p>
    <w:p w14:paraId="17E66CBD">
      <w:pPr>
        <w:pStyle w:val="95"/>
        <w:spacing w:before="156" w:after="156"/>
      </w:pPr>
      <w:r>
        <w:rPr>
          <w:rFonts w:hint="eastAsia"/>
        </w:rPr>
        <w:t>食品添加剂管理</w:t>
      </w:r>
    </w:p>
    <w:p w14:paraId="681DEB12">
      <w:pPr>
        <w:pStyle w:val="168"/>
      </w:pPr>
      <w:r>
        <w:rPr>
          <w:rFonts w:hint="eastAsia"/>
        </w:rPr>
        <w:t>使用食品添加剂，应在技术上确有必要，并在达到预期效果的前提下尽可能降低使用量。</w:t>
      </w:r>
    </w:p>
    <w:p w14:paraId="1FAF336C">
      <w:pPr>
        <w:pStyle w:val="168"/>
      </w:pPr>
      <w:r>
        <w:rPr>
          <w:rFonts w:hint="eastAsia"/>
        </w:rPr>
        <w:t>不得采购、贮存、使用亚硝酸盐等国家禁止在餐饮业使用的食品添加剂。</w:t>
      </w:r>
    </w:p>
    <w:p w14:paraId="14215836">
      <w:pPr>
        <w:pStyle w:val="168"/>
      </w:pPr>
      <w:r>
        <w:rPr>
          <w:rFonts w:hint="eastAsia"/>
        </w:rPr>
        <w:t>应专柜（位）贮存食品添加剂，标注“食品添加剂”字样，并与食品、食品相关产品等分开存放。</w:t>
      </w:r>
    </w:p>
    <w:p w14:paraId="53C39E97">
      <w:pPr>
        <w:pStyle w:val="168"/>
      </w:pPr>
      <w:r>
        <w:rPr>
          <w:rFonts w:hint="eastAsia"/>
        </w:rPr>
        <w:t>用容器盛放开封后的食品添加剂，应在容器上标明食品添加剂名称、生产日期或批号、使用期限，并保留食品添加剂原包装。开封后的食品添加剂应避免受到污染。</w:t>
      </w:r>
    </w:p>
    <w:p w14:paraId="59FF10F6">
      <w:pPr>
        <w:pStyle w:val="168"/>
      </w:pPr>
      <w:r>
        <w:rPr>
          <w:rFonts w:hint="eastAsia"/>
        </w:rPr>
        <w:t>使用GB 2760规定按生产需要适量使用品种以外的食品添加剂，应记录食品名称、食品数量、加工时间以及使用的食品添加剂名称、生产日期或批号、使用量、使用人等信息。</w:t>
      </w:r>
    </w:p>
    <w:p w14:paraId="48C516C6">
      <w:pPr>
        <w:pStyle w:val="168"/>
      </w:pPr>
      <w:r>
        <w:rPr>
          <w:rFonts w:hint="eastAsia"/>
        </w:rPr>
        <w:t>使用GB 2760有最大使用量规定的食品添加剂，应采用称量等方式定量使用。</w:t>
      </w:r>
    </w:p>
    <w:p w14:paraId="710283D2">
      <w:pPr>
        <w:pStyle w:val="105"/>
        <w:spacing w:before="312" w:after="312"/>
      </w:pPr>
      <w:bookmarkStart w:id="51" w:name="_Toc155701225"/>
      <w:r>
        <w:rPr>
          <w:rFonts w:hint="eastAsia"/>
        </w:rPr>
        <w:t>食品安全突发事件信息报告</w:t>
      </w:r>
      <w:bookmarkEnd w:id="51"/>
    </w:p>
    <w:p w14:paraId="5776083E">
      <w:pPr>
        <w:pStyle w:val="106"/>
        <w:spacing w:before="156" w:after="156"/>
      </w:pPr>
      <w:r>
        <w:rPr>
          <w:rFonts w:hint="eastAsia"/>
        </w:rPr>
        <w:t>制度建立</w:t>
      </w:r>
    </w:p>
    <w:p w14:paraId="3F2BE369">
      <w:pPr>
        <w:pStyle w:val="57"/>
        <w:ind w:firstLine="420"/>
      </w:pPr>
      <w:r>
        <w:rPr>
          <w:rFonts w:hint="eastAsia"/>
        </w:rPr>
        <w:t>学校应当建立食品安全应急管理和突发事件报告制度，制定食品安全事故应急预案。明确突发情况下的应急措施，细化事故信息报告、人员救治、危害控制、事故调查、善后处理、舆情应对等具体工作方案。</w:t>
      </w:r>
    </w:p>
    <w:p w14:paraId="62D54D00">
      <w:pPr>
        <w:pStyle w:val="106"/>
        <w:spacing w:before="156" w:after="156"/>
      </w:pPr>
      <w:r>
        <w:rPr>
          <w:rFonts w:hint="eastAsia"/>
        </w:rPr>
        <w:t>组织体系</w:t>
      </w:r>
    </w:p>
    <w:p w14:paraId="7174D46E">
      <w:pPr>
        <w:pStyle w:val="166"/>
      </w:pPr>
      <w:r>
        <w:rPr>
          <w:rFonts w:hint="eastAsia"/>
        </w:rPr>
        <w:t>学校应成立由校长为第一责任人的食品安全突发事件处置工作小组，全面负责学校的食品安全突发事件处置工作。小组成员应该包括学校食品安全负责人、食品安全总监、食品安全管理员、各相关部门的负责人等。</w:t>
      </w:r>
    </w:p>
    <w:p w14:paraId="2EFF0021">
      <w:pPr>
        <w:pStyle w:val="166"/>
      </w:pPr>
      <w:r>
        <w:rPr>
          <w:rFonts w:hint="eastAsia"/>
        </w:rPr>
        <w:t>学校应建立由食品安全总监、食品安全管理员、班主任（生活老师）组成的食品安全突发事件信息监测、报告网络体系。做到早发现、早解决，形成统一、科学的食品安全信息评估和预警体系。</w:t>
      </w:r>
    </w:p>
    <w:p w14:paraId="7C24B116">
      <w:pPr>
        <w:pStyle w:val="106"/>
        <w:spacing w:before="156" w:after="156"/>
      </w:pPr>
      <w:r>
        <w:rPr>
          <w:rFonts w:hint="eastAsia"/>
        </w:rPr>
        <w:t>学校食品安全突发事件报告人</w:t>
      </w:r>
    </w:p>
    <w:p w14:paraId="5CF097B7">
      <w:pPr>
        <w:pStyle w:val="57"/>
        <w:ind w:firstLine="420"/>
      </w:pPr>
      <w:r>
        <w:rPr>
          <w:rFonts w:hint="eastAsia"/>
        </w:rPr>
        <w:t>负责学校食品安全管理的食品安全总监是学校食品安全突发事件的报告人。</w:t>
      </w:r>
    </w:p>
    <w:p w14:paraId="07BA0CDF">
      <w:pPr>
        <w:pStyle w:val="106"/>
        <w:spacing w:before="156" w:after="156"/>
      </w:pPr>
      <w:r>
        <w:rPr>
          <w:rFonts w:hint="eastAsia"/>
        </w:rPr>
        <w:t>食品安全突发事件症状</w:t>
      </w:r>
    </w:p>
    <w:p w14:paraId="76ADD73D">
      <w:pPr>
        <w:pStyle w:val="57"/>
        <w:ind w:firstLine="420"/>
      </w:pPr>
      <w:r>
        <w:rPr>
          <w:rFonts w:hint="eastAsia"/>
        </w:rPr>
        <w:t>食品安全突发事件症状主要是以胃肠道症状为主，如恶心、呕吐、腹痛、腹泻等，重者可有脱水、酸中毒，甚至休克、昏迷，常有发热。少数伴有神经系统症状。</w:t>
      </w:r>
    </w:p>
    <w:p w14:paraId="6E6859D7">
      <w:pPr>
        <w:pStyle w:val="106"/>
        <w:spacing w:before="156" w:after="156"/>
      </w:pPr>
      <w:r>
        <w:rPr>
          <w:rFonts w:hint="eastAsia"/>
        </w:rPr>
        <w:t>信息监测</w:t>
      </w:r>
    </w:p>
    <w:p w14:paraId="47263303">
      <w:pPr>
        <w:pStyle w:val="57"/>
        <w:ind w:firstLine="420"/>
      </w:pPr>
      <w:r>
        <w:rPr>
          <w:rFonts w:hint="eastAsia"/>
        </w:rPr>
        <w:t>班主任（生活老师）或其他人员收到师生出现相关症状报告后，应做好安抚工作，了解其主要症状、发病时间。并在1小时内将发病人数、症状等信息报告学校食品安全管理员。</w:t>
      </w:r>
    </w:p>
    <w:p w14:paraId="77D40AF7">
      <w:pPr>
        <w:pStyle w:val="106"/>
        <w:spacing w:before="156" w:after="156"/>
      </w:pPr>
      <w:r>
        <w:rPr>
          <w:rFonts w:hint="eastAsia"/>
        </w:rPr>
        <w:t>信息汇总与预警</w:t>
      </w:r>
    </w:p>
    <w:p w14:paraId="7B59C4AF">
      <w:pPr>
        <w:pStyle w:val="57"/>
        <w:ind w:firstLine="420"/>
      </w:pPr>
      <w:r>
        <w:rPr>
          <w:rFonts w:hint="eastAsia"/>
        </w:rPr>
        <w:t>学校食品安全管理员应做好食品安全突发事件信息收集、汇总、分析工作，当出现以下任一情况时，应按照发生疑似食品安全事故报告学校食品安全总监：</w:t>
      </w:r>
    </w:p>
    <w:p w14:paraId="19239CD6">
      <w:pPr>
        <w:pStyle w:val="133"/>
      </w:pPr>
      <w:r>
        <w:rPr>
          <w:rFonts w:hint="eastAsia"/>
        </w:rPr>
        <w:t>有同一餐次就餐史师生在就餐后出现症状的人数超过2人的；</w:t>
      </w:r>
    </w:p>
    <w:p w14:paraId="560D0998">
      <w:pPr>
        <w:pStyle w:val="133"/>
      </w:pPr>
      <w:r>
        <w:rPr>
          <w:rFonts w:hint="eastAsia"/>
        </w:rPr>
        <w:t>经医疗机构诊断怀疑是用餐后引起的。</w:t>
      </w:r>
    </w:p>
    <w:p w14:paraId="4C326FC2">
      <w:pPr>
        <w:pStyle w:val="106"/>
        <w:spacing w:before="156" w:after="156"/>
      </w:pPr>
      <w:r>
        <w:rPr>
          <w:rFonts w:hint="eastAsia"/>
        </w:rPr>
        <w:t>信息报告</w:t>
      </w:r>
    </w:p>
    <w:p w14:paraId="658FEFD6">
      <w:pPr>
        <w:pStyle w:val="166"/>
      </w:pPr>
      <w:r>
        <w:rPr>
          <w:rFonts w:hint="eastAsia"/>
        </w:rPr>
        <w:t>学校食品安全总监在收到食品安全管理员发生疑似食品安全事故报告后，应在2小时内向行政主管部门、属地县级市场监管和卫生健康部门报告。</w:t>
      </w:r>
    </w:p>
    <w:p w14:paraId="19C05850">
      <w:pPr>
        <w:pStyle w:val="166"/>
      </w:pPr>
      <w:r>
        <w:rPr>
          <w:rFonts w:hint="eastAsia"/>
        </w:rPr>
        <w:t>报告内容包括发生的单位、时间、诊疗机构、人数、患者的主要症状、可能导致的原因和已经采取的应急措施等。</w:t>
      </w:r>
    </w:p>
    <w:p w14:paraId="6FD23E32">
      <w:pPr>
        <w:pStyle w:val="166"/>
      </w:pPr>
      <w:r>
        <w:rPr>
          <w:rFonts w:hint="eastAsia"/>
        </w:rPr>
        <w:t>学校在报告的同时，应同步采取下列措施：</w:t>
      </w:r>
    </w:p>
    <w:p w14:paraId="4830EFFC">
      <w:pPr>
        <w:pStyle w:val="175"/>
        <w:numPr>
          <w:ilvl w:val="0"/>
          <w:numId w:val="33"/>
        </w:numPr>
      </w:pPr>
      <w:r>
        <w:rPr>
          <w:rFonts w:hint="eastAsia"/>
        </w:rPr>
        <w:t>积极协助医疗机构做好患病师生救治；</w:t>
      </w:r>
    </w:p>
    <w:p w14:paraId="5BC7CED1">
      <w:pPr>
        <w:pStyle w:val="175"/>
      </w:pPr>
      <w:r>
        <w:rPr>
          <w:rFonts w:hint="eastAsia"/>
        </w:rPr>
        <w:t>封存所有留样食品和导致或者可能导致事故发生的食品，并按照食品安全监管部门要求采取控制措施；</w:t>
      </w:r>
    </w:p>
    <w:p w14:paraId="20D4B2DD">
      <w:pPr>
        <w:pStyle w:val="175"/>
      </w:pPr>
      <w:r>
        <w:rPr>
          <w:rFonts w:hint="eastAsia"/>
        </w:rPr>
        <w:t>配合相关部门进行现场调查处理；</w:t>
      </w:r>
    </w:p>
    <w:p w14:paraId="192B6162">
      <w:pPr>
        <w:pStyle w:val="175"/>
      </w:pPr>
      <w:r>
        <w:rPr>
          <w:rFonts w:hint="eastAsia"/>
        </w:rPr>
        <w:t>配合相关部门对用餐师生进行调查，加强与师生、家长联系，通报情况，做好沟通引导工作，加强舆情管控，回应社会关切。</w:t>
      </w:r>
    </w:p>
    <w:p w14:paraId="58A5C7EE">
      <w:pPr>
        <w:pStyle w:val="166"/>
      </w:pPr>
      <w:r>
        <w:rPr>
          <w:rFonts w:hint="eastAsia"/>
        </w:rPr>
        <w:t>行政主管部门、属地县级市场监管和卫生健康部门接学校突发食品安全事件报告后应立即按职责开展调查处置工作。</w:t>
      </w:r>
    </w:p>
    <w:p w14:paraId="1B9B64C3">
      <w:pPr>
        <w:pStyle w:val="105"/>
        <w:spacing w:before="312" w:after="312"/>
      </w:pPr>
      <w:bookmarkStart w:id="52" w:name="_Toc155701226"/>
      <w:r>
        <w:rPr>
          <w:rFonts w:hint="eastAsia"/>
        </w:rPr>
        <w:t>营养管理</w:t>
      </w:r>
      <w:bookmarkEnd w:id="52"/>
    </w:p>
    <w:p w14:paraId="7A9EF2E4">
      <w:pPr>
        <w:pStyle w:val="163"/>
      </w:pPr>
      <w:r>
        <w:rPr>
          <w:rFonts w:hint="eastAsia"/>
        </w:rPr>
        <w:t>学校食堂应配备专（兼）职营养配餐师并持证上岗。配餐师应做好营养食谱设计、编制以及对原料采购、加工、成品配送等全程供餐营养管理工作。</w:t>
      </w:r>
    </w:p>
    <w:p w14:paraId="79BB9F7B">
      <w:pPr>
        <w:pStyle w:val="163"/>
      </w:pPr>
      <w:r>
        <w:rPr>
          <w:rFonts w:hint="eastAsia"/>
        </w:rPr>
        <w:t>学校食堂应根据 WS/T554-2017 制订学生餐带量食谱，至少提前 1周制订并及时公布。</w:t>
      </w:r>
    </w:p>
    <w:p w14:paraId="0DAB52C4">
      <w:pPr>
        <w:pStyle w:val="163"/>
      </w:pPr>
      <w:r>
        <w:rPr>
          <w:rFonts w:hint="eastAsia"/>
        </w:rPr>
        <w:t>学校食堂供餐食品应符合食品安全和营养健康的标准要求，做到营养均衡、新鲜卫生、品种多样，控油限盐减糖，尽量减少煎、炸等可能产生有毒有害物质的烹调方式。</w:t>
      </w:r>
    </w:p>
    <w:p w14:paraId="1905FB25">
      <w:pPr>
        <w:pStyle w:val="163"/>
      </w:pPr>
      <w:r>
        <w:rPr>
          <w:rFonts w:hint="eastAsia"/>
        </w:rPr>
        <w:t>倡导学校每餐供应的食物应包括谷薯杂豆类、蔬菜水果类、水产畜禽蛋类、奶及大豆类等4种食物中的3类以上；住宿生每天食物种类至少达到12种，每周至少25种。</w:t>
      </w:r>
    </w:p>
    <w:p w14:paraId="03278B48">
      <w:pPr>
        <w:pStyle w:val="163"/>
      </w:pPr>
      <w:r>
        <w:rPr>
          <w:rFonts w:hint="eastAsia"/>
        </w:rPr>
        <w:t>鼓励有条件的地区开发建设信息化营养配餐监测评估系统，及时跟踪了解学生营养状况，采取营养健康干预措施，不断完善学生餐营养质量。</w:t>
      </w:r>
    </w:p>
    <w:p w14:paraId="0FBA5401">
      <w:pPr>
        <w:pStyle w:val="105"/>
        <w:spacing w:before="312" w:after="312"/>
      </w:pPr>
      <w:bookmarkStart w:id="53" w:name="_Toc155701227"/>
      <w:r>
        <w:rPr>
          <w:rFonts w:hint="eastAsia"/>
        </w:rPr>
        <w:t>反食品浪费</w:t>
      </w:r>
      <w:bookmarkEnd w:id="53"/>
    </w:p>
    <w:p w14:paraId="430262AA">
      <w:pPr>
        <w:pStyle w:val="163"/>
      </w:pPr>
      <w:r>
        <w:rPr>
          <w:rFonts w:hint="eastAsia"/>
        </w:rPr>
        <w:t>学校食堂应在就餐场所醒目位置设置“光盘行动”“反食品浪费”等相关内容的标识。</w:t>
      </w:r>
    </w:p>
    <w:p w14:paraId="379AD8BC">
      <w:pPr>
        <w:pStyle w:val="163"/>
      </w:pPr>
      <w:r>
        <w:rPr>
          <w:rFonts w:hint="eastAsia"/>
        </w:rPr>
        <w:t>学校食堂应提升从业人员的专业技能、烹饪水平，保证出品质量。提高食材出成率、利用率。</w:t>
      </w:r>
    </w:p>
    <w:p w14:paraId="294FBBE8">
      <w:pPr>
        <w:pStyle w:val="163"/>
      </w:pPr>
      <w:r>
        <w:rPr>
          <w:rFonts w:hint="eastAsia"/>
        </w:rPr>
        <w:t>学校食堂要建立用餐巡查制度，定期组织巡查。设立反食品浪费督导员，对用餐人员进行引导监督，发现浪费行为，当面提醒劝告，及时制止。</w:t>
      </w:r>
    </w:p>
    <w:p w14:paraId="27BEB483">
      <w:pPr>
        <w:pStyle w:val="163"/>
      </w:pPr>
      <w:r>
        <w:rPr>
          <w:rFonts w:hint="eastAsia"/>
        </w:rPr>
        <w:t>学校食堂应按照食堂用餐人数，制定合理采购计划，按需备餐。应考虑学生年龄、体质、性别等因素，实行常例、中例、小例供餐，减少因个体差异造成的餐饮浪费。</w:t>
      </w:r>
    </w:p>
    <w:p w14:paraId="6FAC2FBF">
      <w:pPr>
        <w:pStyle w:val="163"/>
      </w:pPr>
      <w:r>
        <w:rPr>
          <w:rFonts w:hint="eastAsia"/>
        </w:rPr>
        <w:t>学校应将厉行节约、反对浪费纳入教育教学内容，充分利用多种媒介形式宣传制止餐饮浪费。</w:t>
      </w:r>
    </w:p>
    <w:p w14:paraId="438D8882">
      <w:pPr>
        <w:pStyle w:val="57"/>
        <w:ind w:firstLine="420"/>
      </w:pPr>
    </w:p>
    <w:bookmarkEnd w:id="22"/>
    <w:p w14:paraId="3FBFEA3A">
      <w:pPr>
        <w:pStyle w:val="57"/>
        <w:ind w:firstLine="420"/>
        <w:sectPr>
          <w:pgSz w:w="11906" w:h="16838"/>
          <w:pgMar w:top="2410" w:right="1134" w:bottom="1134" w:left="1134" w:header="1418" w:footer="1134" w:gutter="284"/>
          <w:pgNumType w:start="1"/>
          <w:cols w:space="425" w:num="1"/>
          <w:formProt w:val="0"/>
          <w:docGrid w:type="lines" w:linePitch="312" w:charSpace="0"/>
        </w:sectPr>
      </w:pPr>
      <w:bookmarkStart w:id="54" w:name="BookMark6"/>
    </w:p>
    <w:p w14:paraId="502AA503">
      <w:pPr>
        <w:pStyle w:val="64"/>
        <w:spacing w:before="124" w:after="156"/>
      </w:pPr>
      <w:bookmarkStart w:id="55" w:name="_Toc155701228"/>
      <w:r>
        <w:rPr>
          <w:rFonts w:hint="eastAsia"/>
          <w:spacing w:val="105"/>
        </w:rPr>
        <w:t>参考文</w:t>
      </w:r>
      <w:r>
        <w:rPr>
          <w:rFonts w:hint="eastAsia"/>
        </w:rPr>
        <w:t>献</w:t>
      </w:r>
      <w:bookmarkEnd w:id="55"/>
    </w:p>
    <w:p w14:paraId="7973B13D">
      <w:pPr>
        <w:pStyle w:val="57"/>
        <w:ind w:firstLine="420"/>
      </w:pPr>
      <w:r>
        <w:rPr>
          <w:rFonts w:hint="eastAsia"/>
        </w:rPr>
        <w:t>[1] 《中华人民共和国食品安全法》（主席令第二十一号）</w:t>
      </w:r>
    </w:p>
    <w:p w14:paraId="3FE45E83">
      <w:pPr>
        <w:pStyle w:val="57"/>
        <w:ind w:firstLine="420"/>
      </w:pPr>
      <w:r>
        <w:t>[</w:t>
      </w:r>
      <w:r>
        <w:rPr>
          <w:rFonts w:hint="eastAsia"/>
        </w:rPr>
        <w:t>2</w:t>
      </w:r>
      <w:r>
        <w:t>]</w:t>
      </w:r>
      <w:r>
        <w:rPr>
          <w:rFonts w:hint="eastAsia"/>
        </w:rPr>
        <w:t xml:space="preserve">  《餐饮服务食品安全操作规范》（国家市场监管总局公告[2018]第12号）</w:t>
      </w:r>
    </w:p>
    <w:p w14:paraId="23C10010">
      <w:pPr>
        <w:pStyle w:val="57"/>
        <w:ind w:firstLine="420"/>
      </w:pPr>
      <w:r>
        <w:t>[</w:t>
      </w:r>
      <w:r>
        <w:rPr>
          <w:rFonts w:hint="eastAsia"/>
        </w:rPr>
        <w:t>3</w:t>
      </w:r>
      <w:r>
        <w:t>]</w:t>
      </w:r>
      <w:r>
        <w:rPr>
          <w:rFonts w:hint="eastAsia"/>
        </w:rPr>
        <w:t>《学校食品安全与营养健康管理规定》（教育部、国家市场监管总局、卫健委[2019]第45号）</w:t>
      </w:r>
    </w:p>
    <w:bookmarkEnd w:id="54"/>
    <w:p w14:paraId="3B2637F8">
      <w:pPr>
        <w:pStyle w:val="57"/>
        <w:ind w:firstLine="0" w:firstLineChars="0"/>
        <w:jc w:val="center"/>
      </w:pPr>
      <w:bookmarkStart w:id="56" w:name="BookMark8"/>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stretch>
                      <a:fillRect/>
                    </a:stretch>
                  </pic:blipFill>
                  <pic:spPr>
                    <a:xfrm>
                      <a:off x="0" y="0"/>
                      <a:ext cx="1485900" cy="317500"/>
                    </a:xfrm>
                    <a:prstGeom prst="rect">
                      <a:avLst/>
                    </a:prstGeom>
                  </pic:spPr>
                </pic:pic>
              </a:graphicData>
            </a:graphic>
          </wp:inline>
        </w:drawing>
      </w:r>
      <w:bookmarkEnd w:id="56"/>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132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33C2">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6E67">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D189">
    <w:pPr>
      <w:pStyle w:val="53"/>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54D4">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0B0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9459">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EA1C">
    <w:pPr>
      <w:pStyle w:val="62"/>
    </w:pPr>
    <w:r>
      <w:fldChar w:fldCharType="begin"/>
    </w:r>
    <w:r>
      <w:instrText xml:space="preserve"> STYLEREF  标准文件_文件编号  \* MERGEFORMAT </w:instrText>
    </w:r>
    <w:r>
      <w:fldChar w:fldCharType="separate"/>
    </w:r>
    <w:r>
      <w:t>DB3206/T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E305">
    <w:pPr>
      <w:pStyle w:val="19"/>
      <w:jc w:val="right"/>
      <w:rPr>
        <w:lang w:val="fr-FR"/>
      </w:rPr>
    </w:pPr>
    <w:r>
      <w:fldChar w:fldCharType="begin"/>
    </w:r>
    <w:r>
      <w:instrText xml:space="preserve"> STYLEREF  标准文件_文件编号  \* MERGEFORMAT </w:instrText>
    </w:r>
    <w:r>
      <w:fldChar w:fldCharType="separate"/>
    </w:r>
    <w:r>
      <w:t>DB3206/T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993" w:firstLine="0"/>
      </w:pPr>
      <w:rPr>
        <w:rFonts w:hint="eastAsia" w:ascii="黑体" w:eastAsia="黑体"/>
        <w:b w:val="0"/>
        <w:i w:val="0"/>
        <w:sz w:val="21"/>
      </w:rPr>
    </w:lvl>
    <w:lvl w:ilvl="2" w:tentative="0">
      <w:start w:val="1"/>
      <w:numFmt w:val="decimal"/>
      <w:pStyle w:val="106"/>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Full" w:cryptAlgorithmClass="hash" w:cryptAlgorithmType="typeAny" w:cryptAlgorithmSid="4" w:cryptSpinCount="50000" w:hash="4i3sB4lJtYYTlsrcmdqNL31vadw=" w:salt="YIEPTSNReh9QqrllDxTaq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UwMTRkZGIzNjdhMTM0ZDlmMDIwZjUxMWU5ZjVhZTYifQ=="/>
  </w:docVars>
  <w:rsids>
    <w:rsidRoot w:val="0063790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7B3"/>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518A"/>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7457"/>
    <w:rsid w:val="001529E5"/>
    <w:rsid w:val="00153C7E"/>
    <w:rsid w:val="00156B25"/>
    <w:rsid w:val="00156E1A"/>
    <w:rsid w:val="00157894"/>
    <w:rsid w:val="00157B55"/>
    <w:rsid w:val="00157DAF"/>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22C"/>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239"/>
    <w:rsid w:val="002040E6"/>
    <w:rsid w:val="0020527B"/>
    <w:rsid w:val="00205F2C"/>
    <w:rsid w:val="00210B15"/>
    <w:rsid w:val="002142EA"/>
    <w:rsid w:val="002204BB"/>
    <w:rsid w:val="00221B79"/>
    <w:rsid w:val="00221C6B"/>
    <w:rsid w:val="002253A1"/>
    <w:rsid w:val="00225CF8"/>
    <w:rsid w:val="0022713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E9D"/>
    <w:rsid w:val="00266EEB"/>
    <w:rsid w:val="00267EF4"/>
    <w:rsid w:val="00270CB8"/>
    <w:rsid w:val="00270F72"/>
    <w:rsid w:val="00272B08"/>
    <w:rsid w:val="00281BB8"/>
    <w:rsid w:val="00281E9E"/>
    <w:rsid w:val="00282405"/>
    <w:rsid w:val="00285170"/>
    <w:rsid w:val="00285361"/>
    <w:rsid w:val="00292D60"/>
    <w:rsid w:val="00293B30"/>
    <w:rsid w:val="00294D34"/>
    <w:rsid w:val="00294D5F"/>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0E64"/>
    <w:rsid w:val="002E4D5A"/>
    <w:rsid w:val="002E6326"/>
    <w:rsid w:val="002F30E0"/>
    <w:rsid w:val="002F35E4"/>
    <w:rsid w:val="002F3730"/>
    <w:rsid w:val="002F38E1"/>
    <w:rsid w:val="002F7AF6"/>
    <w:rsid w:val="00300E63"/>
    <w:rsid w:val="00302F5F"/>
    <w:rsid w:val="0030441D"/>
    <w:rsid w:val="00306063"/>
    <w:rsid w:val="003111AE"/>
    <w:rsid w:val="00313B85"/>
    <w:rsid w:val="00317988"/>
    <w:rsid w:val="003221B4"/>
    <w:rsid w:val="0032258D"/>
    <w:rsid w:val="00322E62"/>
    <w:rsid w:val="00324D13"/>
    <w:rsid w:val="00324D2A"/>
    <w:rsid w:val="00324EDD"/>
    <w:rsid w:val="00326D10"/>
    <w:rsid w:val="003331E4"/>
    <w:rsid w:val="00336C64"/>
    <w:rsid w:val="00337162"/>
    <w:rsid w:val="00337B3C"/>
    <w:rsid w:val="0034194F"/>
    <w:rsid w:val="003431DA"/>
    <w:rsid w:val="00344605"/>
    <w:rsid w:val="003474AA"/>
    <w:rsid w:val="00350118"/>
    <w:rsid w:val="00350D1D"/>
    <w:rsid w:val="00352C83"/>
    <w:rsid w:val="003615D2"/>
    <w:rsid w:val="003633FC"/>
    <w:rsid w:val="0036429C"/>
    <w:rsid w:val="00364A53"/>
    <w:rsid w:val="003654CB"/>
    <w:rsid w:val="00365AA9"/>
    <w:rsid w:val="00365F86"/>
    <w:rsid w:val="00365F87"/>
    <w:rsid w:val="00366E89"/>
    <w:rsid w:val="003705F4"/>
    <w:rsid w:val="00370D58"/>
    <w:rsid w:val="00371316"/>
    <w:rsid w:val="00376713"/>
    <w:rsid w:val="003775D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376C"/>
    <w:rsid w:val="003B5BF0"/>
    <w:rsid w:val="003B60BF"/>
    <w:rsid w:val="003B6BE3"/>
    <w:rsid w:val="003C010C"/>
    <w:rsid w:val="003C0A6C"/>
    <w:rsid w:val="003C14F8"/>
    <w:rsid w:val="003C5A43"/>
    <w:rsid w:val="003D0519"/>
    <w:rsid w:val="003D0FF6"/>
    <w:rsid w:val="003D262C"/>
    <w:rsid w:val="003D3FFD"/>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DF0"/>
    <w:rsid w:val="00405884"/>
    <w:rsid w:val="00407D39"/>
    <w:rsid w:val="0041477A"/>
    <w:rsid w:val="004167A3"/>
    <w:rsid w:val="0042788C"/>
    <w:rsid w:val="00432DAA"/>
    <w:rsid w:val="00433B3D"/>
    <w:rsid w:val="00434305"/>
    <w:rsid w:val="00435DF7"/>
    <w:rsid w:val="0044083F"/>
    <w:rsid w:val="00441AE7"/>
    <w:rsid w:val="00441D6A"/>
    <w:rsid w:val="00443BBC"/>
    <w:rsid w:val="00445574"/>
    <w:rsid w:val="00446597"/>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38A"/>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0211"/>
    <w:rsid w:val="00501139"/>
    <w:rsid w:val="0050128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123"/>
    <w:rsid w:val="00555044"/>
    <w:rsid w:val="00561475"/>
    <w:rsid w:val="0056487B"/>
    <w:rsid w:val="00564FB9"/>
    <w:rsid w:val="00570772"/>
    <w:rsid w:val="00573D9E"/>
    <w:rsid w:val="00577E8B"/>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356C"/>
    <w:rsid w:val="005D4171"/>
    <w:rsid w:val="005D42BD"/>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0A1"/>
    <w:rsid w:val="00636E3E"/>
    <w:rsid w:val="0063790D"/>
    <w:rsid w:val="006379F7"/>
    <w:rsid w:val="00637E4D"/>
    <w:rsid w:val="00640620"/>
    <w:rsid w:val="00641A1F"/>
    <w:rsid w:val="00645904"/>
    <w:rsid w:val="00651ACB"/>
    <w:rsid w:val="00651C47"/>
    <w:rsid w:val="00652AB2"/>
    <w:rsid w:val="00653FED"/>
    <w:rsid w:val="00654EC0"/>
    <w:rsid w:val="0065525B"/>
    <w:rsid w:val="00655D4F"/>
    <w:rsid w:val="00656D29"/>
    <w:rsid w:val="00660FBB"/>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44B"/>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E4790"/>
    <w:rsid w:val="006F03A8"/>
    <w:rsid w:val="006F2ACA"/>
    <w:rsid w:val="006F2ADC"/>
    <w:rsid w:val="006F2BFE"/>
    <w:rsid w:val="006F31E9"/>
    <w:rsid w:val="006F6284"/>
    <w:rsid w:val="007002C5"/>
    <w:rsid w:val="00701499"/>
    <w:rsid w:val="00704387"/>
    <w:rsid w:val="00707669"/>
    <w:rsid w:val="00707F98"/>
    <w:rsid w:val="00711CBA"/>
    <w:rsid w:val="00711FB5"/>
    <w:rsid w:val="00712A01"/>
    <w:rsid w:val="00713FB3"/>
    <w:rsid w:val="007140DE"/>
    <w:rsid w:val="00714F58"/>
    <w:rsid w:val="00722FBF"/>
    <w:rsid w:val="00722FC2"/>
    <w:rsid w:val="00724879"/>
    <w:rsid w:val="00724E1B"/>
    <w:rsid w:val="00725949"/>
    <w:rsid w:val="00726B1B"/>
    <w:rsid w:val="00726BD6"/>
    <w:rsid w:val="00727FA2"/>
    <w:rsid w:val="007322D9"/>
    <w:rsid w:val="00732BC0"/>
    <w:rsid w:val="0073310B"/>
    <w:rsid w:val="0073720F"/>
    <w:rsid w:val="00737796"/>
    <w:rsid w:val="0074165C"/>
    <w:rsid w:val="00742C35"/>
    <w:rsid w:val="007432CA"/>
    <w:rsid w:val="007439EB"/>
    <w:rsid w:val="00743CB4"/>
    <w:rsid w:val="00743F0A"/>
    <w:rsid w:val="007444E8"/>
    <w:rsid w:val="0074548E"/>
    <w:rsid w:val="00745773"/>
    <w:rsid w:val="00745EFA"/>
    <w:rsid w:val="00746800"/>
    <w:rsid w:val="007501A8"/>
    <w:rsid w:val="00750D61"/>
    <w:rsid w:val="00750EE1"/>
    <w:rsid w:val="00752B4D"/>
    <w:rsid w:val="00755402"/>
    <w:rsid w:val="00756300"/>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4E9"/>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766"/>
    <w:rsid w:val="00823A9F"/>
    <w:rsid w:val="00823C85"/>
    <w:rsid w:val="00825138"/>
    <w:rsid w:val="008269DD"/>
    <w:rsid w:val="008279D3"/>
    <w:rsid w:val="00830621"/>
    <w:rsid w:val="0083348C"/>
    <w:rsid w:val="008373D3"/>
    <w:rsid w:val="00840617"/>
    <w:rsid w:val="00840F84"/>
    <w:rsid w:val="00842A47"/>
    <w:rsid w:val="00843C13"/>
    <w:rsid w:val="008454F8"/>
    <w:rsid w:val="0085173A"/>
    <w:rsid w:val="008524DC"/>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A7839"/>
    <w:rsid w:val="008B0C9C"/>
    <w:rsid w:val="008B166D"/>
    <w:rsid w:val="008B17F4"/>
    <w:rsid w:val="008B2547"/>
    <w:rsid w:val="008B2E36"/>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891"/>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132"/>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C80"/>
    <w:rsid w:val="009972D2"/>
    <w:rsid w:val="00997BF1"/>
    <w:rsid w:val="009A089C"/>
    <w:rsid w:val="009A118E"/>
    <w:rsid w:val="009A21CD"/>
    <w:rsid w:val="009A278C"/>
    <w:rsid w:val="009A2BC2"/>
    <w:rsid w:val="009A404F"/>
    <w:rsid w:val="009A42C1"/>
    <w:rsid w:val="009A5429"/>
    <w:rsid w:val="009A72AD"/>
    <w:rsid w:val="009B09E0"/>
    <w:rsid w:val="009B0BC5"/>
    <w:rsid w:val="009B1247"/>
    <w:rsid w:val="009B404B"/>
    <w:rsid w:val="009B6029"/>
    <w:rsid w:val="009B6971"/>
    <w:rsid w:val="009C27F1"/>
    <w:rsid w:val="009C3152"/>
    <w:rsid w:val="009C3CD1"/>
    <w:rsid w:val="009C4CFA"/>
    <w:rsid w:val="009C5070"/>
    <w:rsid w:val="009D112C"/>
    <w:rsid w:val="009D47FA"/>
    <w:rsid w:val="009D4C5B"/>
    <w:rsid w:val="009D50D2"/>
    <w:rsid w:val="009D6BCA"/>
    <w:rsid w:val="009E0F62"/>
    <w:rsid w:val="009E2167"/>
    <w:rsid w:val="009E4A58"/>
    <w:rsid w:val="009E5A2D"/>
    <w:rsid w:val="009E5AB2"/>
    <w:rsid w:val="009E6219"/>
    <w:rsid w:val="009E75E4"/>
    <w:rsid w:val="009F03B3"/>
    <w:rsid w:val="009F3EF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36FAF"/>
    <w:rsid w:val="00A4006C"/>
    <w:rsid w:val="00A40091"/>
    <w:rsid w:val="00A4030F"/>
    <w:rsid w:val="00A41C79"/>
    <w:rsid w:val="00A41CB5"/>
    <w:rsid w:val="00A42CDF"/>
    <w:rsid w:val="00A4452E"/>
    <w:rsid w:val="00A4472C"/>
    <w:rsid w:val="00A44E69"/>
    <w:rsid w:val="00A4661E"/>
    <w:rsid w:val="00A51736"/>
    <w:rsid w:val="00A55BD6"/>
    <w:rsid w:val="00A55D50"/>
    <w:rsid w:val="00A57142"/>
    <w:rsid w:val="00A648CD"/>
    <w:rsid w:val="00A6537A"/>
    <w:rsid w:val="00A67866"/>
    <w:rsid w:val="00A70B07"/>
    <w:rsid w:val="00A723F8"/>
    <w:rsid w:val="00A77CCB"/>
    <w:rsid w:val="00A83D8D"/>
    <w:rsid w:val="00A8446B"/>
    <w:rsid w:val="00A8473F"/>
    <w:rsid w:val="00A848FB"/>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66A"/>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2E73"/>
    <w:rsid w:val="00B65149"/>
    <w:rsid w:val="00B66567"/>
    <w:rsid w:val="00B66F52"/>
    <w:rsid w:val="00B66FE5"/>
    <w:rsid w:val="00B72880"/>
    <w:rsid w:val="00B733F9"/>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5E30"/>
    <w:rsid w:val="00BE22F3"/>
    <w:rsid w:val="00BE2591"/>
    <w:rsid w:val="00BE5B52"/>
    <w:rsid w:val="00BE705D"/>
    <w:rsid w:val="00BE7B8D"/>
    <w:rsid w:val="00BF0993"/>
    <w:rsid w:val="00BF10A9"/>
    <w:rsid w:val="00BF1703"/>
    <w:rsid w:val="00BF231C"/>
    <w:rsid w:val="00BF3140"/>
    <w:rsid w:val="00BF4895"/>
    <w:rsid w:val="00BF51E5"/>
    <w:rsid w:val="00BF5774"/>
    <w:rsid w:val="00BF74A6"/>
    <w:rsid w:val="00C013AD"/>
    <w:rsid w:val="00C04904"/>
    <w:rsid w:val="00C056B3"/>
    <w:rsid w:val="00C0703E"/>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6973"/>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77C"/>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0FAF"/>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213E"/>
    <w:rsid w:val="00D66846"/>
    <w:rsid w:val="00D675FB"/>
    <w:rsid w:val="00D71F25"/>
    <w:rsid w:val="00D72A9C"/>
    <w:rsid w:val="00D77031"/>
    <w:rsid w:val="00D84941"/>
    <w:rsid w:val="00D84FA1"/>
    <w:rsid w:val="00D851F0"/>
    <w:rsid w:val="00D86DB7"/>
    <w:rsid w:val="00D926D0"/>
    <w:rsid w:val="00D93030"/>
    <w:rsid w:val="00D950E1"/>
    <w:rsid w:val="00D952A6"/>
    <w:rsid w:val="00D95B20"/>
    <w:rsid w:val="00D97F99"/>
    <w:rsid w:val="00DA0E2C"/>
    <w:rsid w:val="00DA1E08"/>
    <w:rsid w:val="00DA24F8"/>
    <w:rsid w:val="00DA28E8"/>
    <w:rsid w:val="00DA38D3"/>
    <w:rsid w:val="00DA3932"/>
    <w:rsid w:val="00DA3AFC"/>
    <w:rsid w:val="00DA64F8"/>
    <w:rsid w:val="00DA6C15"/>
    <w:rsid w:val="00DB0258"/>
    <w:rsid w:val="00DB2645"/>
    <w:rsid w:val="00DB38EE"/>
    <w:rsid w:val="00DB498B"/>
    <w:rsid w:val="00DB66CA"/>
    <w:rsid w:val="00DB6BCA"/>
    <w:rsid w:val="00DB73F7"/>
    <w:rsid w:val="00DC0321"/>
    <w:rsid w:val="00DC3067"/>
    <w:rsid w:val="00DC370B"/>
    <w:rsid w:val="00DC5B90"/>
    <w:rsid w:val="00DC6EE9"/>
    <w:rsid w:val="00DD00FF"/>
    <w:rsid w:val="00DD0619"/>
    <w:rsid w:val="00DD07FB"/>
    <w:rsid w:val="00DD25C6"/>
    <w:rsid w:val="00DD41D8"/>
    <w:rsid w:val="00DD4FE5"/>
    <w:rsid w:val="00DD54B0"/>
    <w:rsid w:val="00DD57EE"/>
    <w:rsid w:val="00DD6BCC"/>
    <w:rsid w:val="00DE0A4B"/>
    <w:rsid w:val="00DE2410"/>
    <w:rsid w:val="00DE2939"/>
    <w:rsid w:val="00DE4C63"/>
    <w:rsid w:val="00DE6E81"/>
    <w:rsid w:val="00DE703F"/>
    <w:rsid w:val="00DE7595"/>
    <w:rsid w:val="00DF1961"/>
    <w:rsid w:val="00DF3B5F"/>
    <w:rsid w:val="00DF44DE"/>
    <w:rsid w:val="00DF5F11"/>
    <w:rsid w:val="00DF775D"/>
    <w:rsid w:val="00E01138"/>
    <w:rsid w:val="00E02DFB"/>
    <w:rsid w:val="00E030F9"/>
    <w:rsid w:val="00E0311A"/>
    <w:rsid w:val="00E03138"/>
    <w:rsid w:val="00E06404"/>
    <w:rsid w:val="00E11A85"/>
    <w:rsid w:val="00E123AD"/>
    <w:rsid w:val="00E12495"/>
    <w:rsid w:val="00E15CCD"/>
    <w:rsid w:val="00E202EF"/>
    <w:rsid w:val="00E210B5"/>
    <w:rsid w:val="00E23D99"/>
    <w:rsid w:val="00E252BF"/>
    <w:rsid w:val="00E2552F"/>
    <w:rsid w:val="00E3137A"/>
    <w:rsid w:val="00E32CCF"/>
    <w:rsid w:val="00E34A98"/>
    <w:rsid w:val="00E35D1E"/>
    <w:rsid w:val="00E364F9"/>
    <w:rsid w:val="00E365FA"/>
    <w:rsid w:val="00E36789"/>
    <w:rsid w:val="00E41B9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BCF"/>
    <w:rsid w:val="00E73FBD"/>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4839"/>
    <w:rsid w:val="00EA58D1"/>
    <w:rsid w:val="00EA61BC"/>
    <w:rsid w:val="00EA681A"/>
    <w:rsid w:val="00EA735B"/>
    <w:rsid w:val="00EB141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4843"/>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137"/>
    <w:rsid w:val="00F81141"/>
    <w:rsid w:val="00F833BA"/>
    <w:rsid w:val="00F84606"/>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E2F6B"/>
    <w:rsid w:val="02A209F3"/>
    <w:rsid w:val="04471852"/>
    <w:rsid w:val="04FF212C"/>
    <w:rsid w:val="09842C00"/>
    <w:rsid w:val="0A825391"/>
    <w:rsid w:val="0D907DC5"/>
    <w:rsid w:val="0EF425D6"/>
    <w:rsid w:val="15D05B4B"/>
    <w:rsid w:val="1BFC2ACA"/>
    <w:rsid w:val="1CCC6940"/>
    <w:rsid w:val="261C4494"/>
    <w:rsid w:val="2C2220D9"/>
    <w:rsid w:val="2D7E3C87"/>
    <w:rsid w:val="360C62D3"/>
    <w:rsid w:val="37132BCF"/>
    <w:rsid w:val="3C065573"/>
    <w:rsid w:val="40414DCB"/>
    <w:rsid w:val="430976F7"/>
    <w:rsid w:val="4A68025E"/>
    <w:rsid w:val="4C9B5863"/>
    <w:rsid w:val="53360094"/>
    <w:rsid w:val="58523BC2"/>
    <w:rsid w:val="58A65CBC"/>
    <w:rsid w:val="64C71494"/>
    <w:rsid w:val="6B0C5E52"/>
    <w:rsid w:val="6F60051B"/>
    <w:rsid w:val="6FEC6252"/>
    <w:rsid w:val="72C8235E"/>
    <w:rsid w:val="78454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ind w:left="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ind w:left="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uiPriority w:val="0"/>
    <w:pPr>
      <w:spacing w:line="240" w:lineRule="auto"/>
    </w:pPr>
    <w:rPr>
      <w:rFonts w:ascii="宋体" w:hAnsi="宋体"/>
      <w:iCs/>
    </w:rPr>
  </w:style>
  <w:style w:type="paragraph" w:customStyle="1" w:styleId="145">
    <w:name w:val="目录 41"/>
    <w:basedOn w:val="1"/>
    <w:next w:val="1"/>
    <w:autoRedefine/>
    <w:semiHidden/>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29120C73154078B357F1DE21698166"/>
        <w:style w:val=""/>
        <w:category>
          <w:name w:val="常规"/>
          <w:gallery w:val="placeholder"/>
        </w:category>
        <w:types>
          <w:type w:val="bbPlcHdr"/>
        </w:types>
        <w:behaviors>
          <w:behavior w:val="content"/>
        </w:behaviors>
        <w:description w:val=""/>
        <w:guid w:val="{B020976A-A68D-46B7-8235-0C39A3F00E1E}"/>
      </w:docPartPr>
      <w:docPartBody>
        <w:p w14:paraId="374FC8A1">
          <w:pPr>
            <w:pStyle w:val="5"/>
          </w:pPr>
          <w:r>
            <w:rPr>
              <w:rStyle w:val="4"/>
              <w:rFonts w:hint="eastAsia"/>
            </w:rPr>
            <w:t>单击或点击此处输入文字。</w:t>
          </w:r>
        </w:p>
      </w:docPartBody>
    </w:docPart>
    <w:docPart>
      <w:docPartPr>
        <w:name w:val="6B8D89ED3F23406D9337F3E090186CC8"/>
        <w:style w:val=""/>
        <w:category>
          <w:name w:val="常规"/>
          <w:gallery w:val="placeholder"/>
        </w:category>
        <w:types>
          <w:type w:val="bbPlcHdr"/>
        </w:types>
        <w:behaviors>
          <w:behavior w:val="content"/>
        </w:behaviors>
        <w:description w:val=""/>
        <w:guid w:val="{F4EE966C-5C29-41B7-92B3-192C8A540A32}"/>
      </w:docPartPr>
      <w:docPartBody>
        <w:p w14:paraId="75E183A6">
          <w:pPr>
            <w:pStyle w:val="6"/>
          </w:pPr>
          <w:r>
            <w:rPr>
              <w:rStyle w:val="4"/>
              <w:rFonts w:hint="eastAsia"/>
            </w:rPr>
            <w:t>选择一项。</w:t>
          </w:r>
        </w:p>
      </w:docPartBody>
    </w:docPart>
    <w:docPart>
      <w:docPartPr>
        <w:name w:val="075D1E595EF84E5AA87AD50563E210E6"/>
        <w:style w:val=""/>
        <w:category>
          <w:name w:val="常规"/>
          <w:gallery w:val="placeholder"/>
        </w:category>
        <w:types>
          <w:type w:val="bbPlcHdr"/>
        </w:types>
        <w:behaviors>
          <w:behavior w:val="content"/>
        </w:behaviors>
        <w:description w:val=""/>
        <w:guid w:val="{116D6601-D20B-46DB-8CCF-2413ABE364A5}"/>
      </w:docPartPr>
      <w:docPartBody>
        <w:p w14:paraId="3BE41DD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4C8C"/>
    <w:rsid w:val="000C6326"/>
    <w:rsid w:val="00103E81"/>
    <w:rsid w:val="00294C8C"/>
    <w:rsid w:val="004E3A69"/>
    <w:rsid w:val="00547F8B"/>
    <w:rsid w:val="00725820"/>
    <w:rsid w:val="007968D7"/>
    <w:rsid w:val="007D0534"/>
    <w:rsid w:val="008022EE"/>
    <w:rsid w:val="0083671F"/>
    <w:rsid w:val="0086785B"/>
    <w:rsid w:val="008A565E"/>
    <w:rsid w:val="00972C2D"/>
    <w:rsid w:val="009B45DA"/>
    <w:rsid w:val="00B00AC4"/>
    <w:rsid w:val="00B4073B"/>
    <w:rsid w:val="00B606E0"/>
    <w:rsid w:val="00BF5774"/>
    <w:rsid w:val="00CF67B6"/>
    <w:rsid w:val="00E9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729120C73154078B357F1DE216981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B8D89ED3F23406D9337F3E090186C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75D1E595EF84E5AA87AD50563E210E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C631F-0CB4-4E1B-8CCF-890C785A66B1}">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10794</Words>
  <Characters>11293</Characters>
  <Lines>91</Lines>
  <Paragraphs>25</Paragraphs>
  <TotalTime>171</TotalTime>
  <ScaleCrop>false</ScaleCrop>
  <LinksUpToDate>false</LinksUpToDate>
  <CharactersWithSpaces>11405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2024-09-03T08:19:00Z</dcterms:created>
  <dc:creator>PC</dc:creator>
  <dc:description>&lt;config cover="true" show_menu="true" version="1.0.0" doctype="SDKXY"&gt;_x000d_
&lt;/config&gt;</dc:description>
  <cp:lastModifiedBy>张洁</cp:lastModifiedBy>
  <cp:lastPrinted>2020-08-30T10:00:00Z</cp:lastPrinted>
  <dcterms:modified xsi:type="dcterms:W3CDTF">2024-09-13T03:06:05Z</dcterms:modified>
  <dc:title>地方标准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2052-12.1.0.18240</vt:lpwstr>
  </property>
  <property fmtid="{D5CDD505-2E9C-101B-9397-08002B2CF9AE}" pid="15" name="ICV">
    <vt:lpwstr>11DC89C777CD4465B88BA6DB73CCC699_13</vt:lpwstr>
  </property>
</Properties>
</file>