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474F4">
      <w:pPr>
        <w:spacing w:line="240" w:lineRule="auto"/>
        <w:ind w:firstLine="0" w:firstLineChars="0"/>
        <w:jc w:val="left"/>
        <w:rPr>
          <w:rFonts w:eastAsia="黑体"/>
          <w:sz w:val="24"/>
        </w:rPr>
      </w:pPr>
      <w:r>
        <w:rPr>
          <w:rFonts w:hint="eastAsia" w:eastAsia="黑体"/>
          <w:sz w:val="24"/>
        </w:rPr>
        <w:t>立项号</w:t>
      </w:r>
      <w:r>
        <w:rPr>
          <w:rFonts w:eastAsia="黑体"/>
          <w:sz w:val="24"/>
        </w:rPr>
        <w:t>：</w:t>
      </w:r>
      <w:r>
        <w:rPr>
          <w:rFonts w:hint="eastAsia" w:eastAsia="黑体"/>
          <w:sz w:val="24"/>
        </w:rPr>
        <w:t>NT</w:t>
      </w:r>
      <w:r>
        <w:rPr>
          <w:rFonts w:eastAsia="黑体"/>
          <w:sz w:val="24"/>
        </w:rPr>
        <w:t>2024-34</w:t>
      </w:r>
    </w:p>
    <w:p w14:paraId="46D9356C">
      <w:pPr>
        <w:spacing w:line="240" w:lineRule="auto"/>
        <w:ind w:firstLine="0" w:firstLineChars="0"/>
        <w:jc w:val="left"/>
        <w:rPr>
          <w:rFonts w:eastAsia="黑体"/>
          <w:sz w:val="24"/>
        </w:rPr>
      </w:pPr>
    </w:p>
    <w:p w14:paraId="760CACE3">
      <w:pPr>
        <w:spacing w:line="240" w:lineRule="auto"/>
        <w:ind w:firstLine="0" w:firstLineChars="0"/>
        <w:jc w:val="center"/>
        <w:rPr>
          <w:rFonts w:eastAsia="黑体"/>
          <w:sz w:val="44"/>
          <w:szCs w:val="44"/>
        </w:rPr>
      </w:pPr>
    </w:p>
    <w:p w14:paraId="37487309">
      <w:pPr>
        <w:spacing w:before="312" w:beforeLines="100" w:line="240" w:lineRule="auto"/>
        <w:ind w:firstLine="0" w:firstLineChars="0"/>
        <w:jc w:val="center"/>
        <w:rPr>
          <w:rFonts w:eastAsia="黑体"/>
          <w:sz w:val="44"/>
          <w:szCs w:val="44"/>
        </w:rPr>
      </w:pPr>
      <w:r>
        <w:rPr>
          <w:rFonts w:hint="eastAsia" w:eastAsia="黑体"/>
          <w:sz w:val="44"/>
          <w:szCs w:val="44"/>
        </w:rPr>
        <w:t>《存量发明专利分类分级指南》</w:t>
      </w:r>
    </w:p>
    <w:p w14:paraId="6D331B2E">
      <w:pPr>
        <w:pStyle w:val="19"/>
        <w:spacing w:after="312" w:afterLines="100"/>
        <w:ind w:firstLine="4576" w:firstLineChars="950"/>
        <w:jc w:val="center"/>
        <w:rPr>
          <w:rFonts w:ascii="Times New Roman"/>
          <w:b/>
          <w:spacing w:val="20"/>
          <w:sz w:val="44"/>
          <w:szCs w:val="44"/>
        </w:rPr>
      </w:pPr>
    </w:p>
    <w:p w14:paraId="17CF50F0">
      <w:pPr>
        <w:ind w:firstLine="0" w:firstLineChars="0"/>
        <w:jc w:val="center"/>
        <w:rPr>
          <w:rFonts w:ascii="黑体" w:hAnsi="黑体" w:eastAsia="黑体"/>
          <w:sz w:val="44"/>
          <w:szCs w:val="44"/>
        </w:rPr>
      </w:pPr>
      <w:r>
        <w:rPr>
          <w:rFonts w:hint="eastAsia" w:ascii="黑体" w:hAnsi="黑体" w:eastAsia="黑体"/>
          <w:sz w:val="44"/>
          <w:szCs w:val="44"/>
        </w:rPr>
        <w:t>地方</w:t>
      </w:r>
      <w:r>
        <w:rPr>
          <w:rFonts w:ascii="黑体" w:hAnsi="黑体" w:eastAsia="黑体"/>
          <w:sz w:val="44"/>
          <w:szCs w:val="44"/>
        </w:rPr>
        <w:t>标准编制说明</w:t>
      </w:r>
    </w:p>
    <w:p w14:paraId="42350E18">
      <w:pPr>
        <w:ind w:firstLine="0" w:firstLineChars="0"/>
        <w:jc w:val="center"/>
        <w:rPr>
          <w:rFonts w:ascii="黑体" w:hAnsi="黑体" w:eastAsia="黑体"/>
          <w:sz w:val="44"/>
          <w:szCs w:val="44"/>
        </w:rPr>
      </w:pPr>
    </w:p>
    <w:p w14:paraId="3E4A7199">
      <w:pPr>
        <w:ind w:firstLine="0" w:firstLineChars="0"/>
        <w:jc w:val="center"/>
        <w:rPr>
          <w:rFonts w:ascii="黑体" w:hAnsi="黑体" w:eastAsia="黑体"/>
          <w:sz w:val="44"/>
          <w:szCs w:val="44"/>
        </w:rPr>
      </w:pPr>
    </w:p>
    <w:p w14:paraId="2B42CF58">
      <w:pPr>
        <w:ind w:firstLine="0" w:firstLineChars="0"/>
        <w:jc w:val="center"/>
        <w:rPr>
          <w:rFonts w:ascii="黑体" w:hAnsi="黑体" w:eastAsia="黑体"/>
          <w:sz w:val="44"/>
          <w:szCs w:val="44"/>
        </w:rPr>
      </w:pPr>
    </w:p>
    <w:p w14:paraId="39CEDC52">
      <w:pPr>
        <w:ind w:firstLine="0" w:firstLineChars="0"/>
        <w:jc w:val="center"/>
        <w:rPr>
          <w:rFonts w:ascii="黑体" w:hAnsi="黑体" w:eastAsia="黑体"/>
          <w:sz w:val="44"/>
          <w:szCs w:val="44"/>
        </w:rPr>
      </w:pPr>
    </w:p>
    <w:p w14:paraId="03EA68A7">
      <w:pPr>
        <w:ind w:firstLine="0" w:firstLineChars="0"/>
        <w:jc w:val="center"/>
        <w:rPr>
          <w:rFonts w:ascii="黑体" w:hAnsi="黑体" w:eastAsia="黑体"/>
          <w:sz w:val="44"/>
          <w:szCs w:val="44"/>
        </w:rPr>
      </w:pPr>
    </w:p>
    <w:p w14:paraId="18CF615B">
      <w:pPr>
        <w:ind w:firstLine="0" w:firstLineChars="0"/>
        <w:jc w:val="center"/>
        <w:rPr>
          <w:rFonts w:ascii="黑体" w:hAnsi="黑体" w:eastAsia="黑体"/>
          <w:sz w:val="44"/>
          <w:szCs w:val="44"/>
        </w:rPr>
      </w:pPr>
    </w:p>
    <w:p w14:paraId="506EF94A">
      <w:pPr>
        <w:ind w:firstLine="0" w:firstLineChars="0"/>
        <w:jc w:val="center"/>
        <w:rPr>
          <w:rFonts w:ascii="黑体" w:hAnsi="黑体" w:eastAsia="黑体"/>
          <w:sz w:val="44"/>
          <w:szCs w:val="44"/>
        </w:rPr>
      </w:pPr>
    </w:p>
    <w:p w14:paraId="3169F407">
      <w:pPr>
        <w:ind w:firstLine="0" w:firstLineChars="0"/>
        <w:jc w:val="center"/>
        <w:rPr>
          <w:rFonts w:ascii="黑体" w:hAnsi="黑体" w:eastAsia="黑体"/>
          <w:sz w:val="44"/>
          <w:szCs w:val="44"/>
        </w:rPr>
      </w:pPr>
    </w:p>
    <w:p w14:paraId="045721CE">
      <w:pPr>
        <w:ind w:firstLine="0" w:firstLineChars="0"/>
        <w:jc w:val="center"/>
        <w:rPr>
          <w:rFonts w:ascii="黑体" w:hAnsi="黑体" w:eastAsia="黑体"/>
          <w:sz w:val="44"/>
          <w:szCs w:val="44"/>
        </w:rPr>
      </w:pPr>
    </w:p>
    <w:p w14:paraId="3E59F0CC">
      <w:pPr>
        <w:ind w:firstLine="0" w:firstLineChars="0"/>
        <w:jc w:val="center"/>
        <w:rPr>
          <w:rFonts w:ascii="黑体" w:hAnsi="黑体" w:eastAsia="黑体"/>
          <w:sz w:val="44"/>
          <w:szCs w:val="44"/>
        </w:rPr>
      </w:pPr>
    </w:p>
    <w:p w14:paraId="4FB22DAD">
      <w:pPr>
        <w:ind w:firstLine="0" w:firstLineChars="0"/>
        <w:jc w:val="center"/>
        <w:rPr>
          <w:rFonts w:ascii="黑体" w:hAnsi="黑体" w:eastAsia="黑体"/>
          <w:sz w:val="44"/>
          <w:szCs w:val="44"/>
        </w:rPr>
      </w:pPr>
    </w:p>
    <w:p w14:paraId="70F5C7DF">
      <w:pPr>
        <w:ind w:firstLine="0" w:firstLineChars="0"/>
        <w:jc w:val="center"/>
        <w:rPr>
          <w:rFonts w:ascii="黑体" w:hAnsi="黑体" w:eastAsia="黑体"/>
          <w:sz w:val="44"/>
          <w:szCs w:val="44"/>
        </w:rPr>
      </w:pPr>
    </w:p>
    <w:p w14:paraId="3B3F194C">
      <w:pPr>
        <w:ind w:firstLine="0" w:firstLineChars="0"/>
        <w:jc w:val="center"/>
        <w:rPr>
          <w:rFonts w:ascii="黑体" w:hAnsi="黑体" w:eastAsia="黑体"/>
          <w:sz w:val="44"/>
          <w:szCs w:val="44"/>
        </w:rPr>
      </w:pPr>
    </w:p>
    <w:p w14:paraId="69033CA4">
      <w:pPr>
        <w:ind w:firstLine="0" w:firstLineChars="0"/>
        <w:jc w:val="center"/>
        <w:rPr>
          <w:rFonts w:ascii="黑体" w:hAnsi="黑体" w:eastAsia="黑体"/>
          <w:sz w:val="44"/>
          <w:szCs w:val="44"/>
        </w:rPr>
      </w:pPr>
    </w:p>
    <w:p w14:paraId="17F2CD55">
      <w:pPr>
        <w:ind w:firstLine="0" w:firstLineChars="0"/>
        <w:jc w:val="center"/>
        <w:rPr>
          <w:rFonts w:ascii="黑体" w:hAnsi="黑体" w:eastAsia="黑体"/>
          <w:sz w:val="44"/>
          <w:szCs w:val="44"/>
        </w:rPr>
      </w:pPr>
      <w:bookmarkStart w:id="24" w:name="_GoBack"/>
      <w:bookmarkEnd w:id="24"/>
    </w:p>
    <w:p w14:paraId="6F80CD3E">
      <w:pPr>
        <w:ind w:firstLine="0" w:firstLineChars="0"/>
        <w:jc w:val="center"/>
        <w:rPr>
          <w:rFonts w:ascii="黑体" w:hAnsi="黑体" w:eastAsia="黑体"/>
          <w:sz w:val="44"/>
          <w:szCs w:val="44"/>
        </w:rPr>
      </w:pPr>
    </w:p>
    <w:p w14:paraId="09FAF2E2">
      <w:pPr>
        <w:autoSpaceDE w:val="0"/>
        <w:autoSpaceDN w:val="0"/>
        <w:adjustRightInd w:val="0"/>
        <w:spacing w:line="480" w:lineRule="auto"/>
        <w:ind w:firstLine="0" w:firstLineChars="0"/>
        <w:jc w:val="center"/>
        <w:rPr>
          <w:rFonts w:ascii="黑体" w:hAnsi="黑体" w:eastAsia="黑体"/>
          <w:spacing w:val="20"/>
          <w:sz w:val="30"/>
          <w:szCs w:val="30"/>
          <w:lang w:val="zh-CN"/>
        </w:rPr>
      </w:pPr>
      <w:r>
        <w:rPr>
          <w:rFonts w:hint="eastAsia" w:ascii="黑体" w:hAnsi="黑体" w:eastAsia="黑体"/>
          <w:spacing w:val="20"/>
          <w:sz w:val="30"/>
          <w:szCs w:val="30"/>
          <w:lang w:val="zh-CN"/>
        </w:rPr>
        <w:t>目  录</w:t>
      </w:r>
    </w:p>
    <w:p w14:paraId="0D71B4FD">
      <w:pPr>
        <w:autoSpaceDE w:val="0"/>
        <w:autoSpaceDN w:val="0"/>
        <w:adjustRightInd w:val="0"/>
        <w:spacing w:line="480" w:lineRule="auto"/>
        <w:ind w:firstLine="3840" w:firstLineChars="1200"/>
        <w:jc w:val="left"/>
        <w:rPr>
          <w:rFonts w:eastAsia="仿宋"/>
          <w:spacing w:val="20"/>
          <w:sz w:val="28"/>
          <w:szCs w:val="28"/>
          <w:lang w:val="zh-CN"/>
        </w:rPr>
      </w:pPr>
    </w:p>
    <w:p w14:paraId="11A87B67">
      <w:pPr>
        <w:pStyle w:val="13"/>
        <w:tabs>
          <w:tab w:val="right" w:leader="dot" w:pos="8296"/>
        </w:tabs>
        <w:rPr>
          <w:rFonts w:cstheme="minorBidi"/>
          <w:b w:val="0"/>
          <w:bCs w:val="0"/>
          <w:sz w:val="21"/>
          <w:szCs w:val="22"/>
        </w:rPr>
      </w:pPr>
      <w:r>
        <w:rPr>
          <w:rFonts w:ascii="宋体" w:hAnsi="宋体" w:eastAsia="宋体"/>
          <w:spacing w:val="20"/>
          <w:sz w:val="24"/>
          <w:szCs w:val="24"/>
          <w:lang w:val="zh-CN"/>
        </w:rPr>
        <w:fldChar w:fldCharType="begin"/>
      </w:r>
      <w:r>
        <w:rPr>
          <w:rFonts w:ascii="宋体" w:hAnsi="宋体" w:eastAsia="宋体"/>
          <w:spacing w:val="20"/>
          <w:sz w:val="24"/>
          <w:szCs w:val="24"/>
          <w:lang w:val="zh-CN"/>
        </w:rPr>
        <w:instrText xml:space="preserve"> TOC \o "1-3" \h \z \u </w:instrText>
      </w:r>
      <w:r>
        <w:rPr>
          <w:rFonts w:ascii="宋体" w:hAnsi="宋体" w:eastAsia="宋体"/>
          <w:spacing w:val="20"/>
          <w:sz w:val="24"/>
          <w:szCs w:val="24"/>
          <w:lang w:val="zh-CN"/>
        </w:rPr>
        <w:fldChar w:fldCharType="separate"/>
      </w:r>
      <w:r>
        <w:fldChar w:fldCharType="begin"/>
      </w:r>
      <w:r>
        <w:instrText xml:space="preserve"> HYPERLINK \l "_Toc167459450" </w:instrText>
      </w:r>
      <w:r>
        <w:fldChar w:fldCharType="separate"/>
      </w:r>
      <w:r>
        <w:rPr>
          <w:rStyle w:val="18"/>
          <w:rFonts w:ascii="黑体" w:hAnsi="黑体" w:eastAsia="黑体"/>
          <w:lang w:val="zh-CN"/>
        </w:rPr>
        <w:t>1．目的意义</w:t>
      </w:r>
      <w:r>
        <w:tab/>
      </w:r>
      <w:r>
        <w:fldChar w:fldCharType="begin"/>
      </w:r>
      <w:r>
        <w:instrText xml:space="preserve"> PAGEREF _Toc167459450 \h </w:instrText>
      </w:r>
      <w:r>
        <w:fldChar w:fldCharType="separate"/>
      </w:r>
      <w:r>
        <w:t>1</w:t>
      </w:r>
      <w:r>
        <w:fldChar w:fldCharType="end"/>
      </w:r>
      <w:r>
        <w:fldChar w:fldCharType="end"/>
      </w:r>
    </w:p>
    <w:p w14:paraId="7A4B17A5">
      <w:pPr>
        <w:pStyle w:val="7"/>
        <w:tabs>
          <w:tab w:val="right" w:leader="dot" w:pos="8296"/>
        </w:tabs>
        <w:rPr>
          <w:rFonts w:cstheme="minorBidi"/>
          <w:sz w:val="21"/>
          <w:szCs w:val="22"/>
        </w:rPr>
      </w:pPr>
      <w:r>
        <w:fldChar w:fldCharType="begin"/>
      </w:r>
      <w:r>
        <w:instrText xml:space="preserve"> HYPERLINK \l "_Toc167459451" </w:instrText>
      </w:r>
      <w:r>
        <w:fldChar w:fldCharType="separate"/>
      </w:r>
      <w:r>
        <w:rPr>
          <w:rStyle w:val="18"/>
          <w:rFonts w:ascii="黑体" w:hAnsi="黑体" w:eastAsia="黑体"/>
          <w:lang w:val="zh-CN"/>
        </w:rPr>
        <w:t>1.1 产业发展现状</w:t>
      </w:r>
      <w:r>
        <w:tab/>
      </w:r>
      <w:r>
        <w:fldChar w:fldCharType="begin"/>
      </w:r>
      <w:r>
        <w:instrText xml:space="preserve"> PAGEREF _Toc167459451 \h </w:instrText>
      </w:r>
      <w:r>
        <w:fldChar w:fldCharType="separate"/>
      </w:r>
      <w:r>
        <w:t>1</w:t>
      </w:r>
      <w:r>
        <w:fldChar w:fldCharType="end"/>
      </w:r>
      <w:r>
        <w:fldChar w:fldCharType="end"/>
      </w:r>
    </w:p>
    <w:p w14:paraId="60C76558">
      <w:pPr>
        <w:pStyle w:val="7"/>
        <w:tabs>
          <w:tab w:val="right" w:leader="dot" w:pos="8296"/>
        </w:tabs>
        <w:rPr>
          <w:rFonts w:cstheme="minorBidi"/>
          <w:sz w:val="21"/>
          <w:szCs w:val="22"/>
        </w:rPr>
      </w:pPr>
      <w:r>
        <w:fldChar w:fldCharType="begin"/>
      </w:r>
      <w:r>
        <w:instrText xml:space="preserve"> HYPERLINK \l "_Toc167459452" </w:instrText>
      </w:r>
      <w:r>
        <w:fldChar w:fldCharType="separate"/>
      </w:r>
      <w:r>
        <w:rPr>
          <w:rStyle w:val="18"/>
          <w:rFonts w:ascii="黑体" w:hAnsi="黑体" w:eastAsia="黑体"/>
          <w:lang w:val="zh-CN"/>
        </w:rPr>
        <w:t>1.2 必要性</w:t>
      </w:r>
      <w:r>
        <w:tab/>
      </w:r>
      <w:r>
        <w:fldChar w:fldCharType="begin"/>
      </w:r>
      <w:r>
        <w:instrText xml:space="preserve"> PAGEREF _Toc167459452 \h </w:instrText>
      </w:r>
      <w:r>
        <w:fldChar w:fldCharType="separate"/>
      </w:r>
      <w:r>
        <w:t>1</w:t>
      </w:r>
      <w:r>
        <w:fldChar w:fldCharType="end"/>
      </w:r>
      <w:r>
        <w:fldChar w:fldCharType="end"/>
      </w:r>
    </w:p>
    <w:p w14:paraId="555627B6">
      <w:pPr>
        <w:pStyle w:val="7"/>
        <w:tabs>
          <w:tab w:val="right" w:leader="dot" w:pos="8296"/>
        </w:tabs>
        <w:rPr>
          <w:rFonts w:cstheme="minorBidi"/>
          <w:sz w:val="21"/>
          <w:szCs w:val="22"/>
        </w:rPr>
      </w:pPr>
      <w:r>
        <w:fldChar w:fldCharType="begin"/>
      </w:r>
      <w:r>
        <w:instrText xml:space="preserve"> HYPERLINK \l "_Toc167459453" </w:instrText>
      </w:r>
      <w:r>
        <w:fldChar w:fldCharType="separate"/>
      </w:r>
      <w:r>
        <w:rPr>
          <w:rStyle w:val="18"/>
          <w:rFonts w:ascii="黑体" w:hAnsi="黑体" w:eastAsia="黑体"/>
          <w:lang w:val="zh-CN"/>
        </w:rPr>
        <w:t>1.3 可行性</w:t>
      </w:r>
      <w:r>
        <w:tab/>
      </w:r>
      <w:r>
        <w:fldChar w:fldCharType="begin"/>
      </w:r>
      <w:r>
        <w:instrText xml:space="preserve"> PAGEREF _Toc167459453 \h </w:instrText>
      </w:r>
      <w:r>
        <w:fldChar w:fldCharType="separate"/>
      </w:r>
      <w:r>
        <w:t>3</w:t>
      </w:r>
      <w:r>
        <w:fldChar w:fldCharType="end"/>
      </w:r>
      <w:r>
        <w:fldChar w:fldCharType="end"/>
      </w:r>
    </w:p>
    <w:p w14:paraId="503D3868">
      <w:pPr>
        <w:pStyle w:val="7"/>
        <w:tabs>
          <w:tab w:val="right" w:leader="dot" w:pos="8296"/>
        </w:tabs>
        <w:rPr>
          <w:rFonts w:cstheme="minorBidi"/>
          <w:sz w:val="21"/>
          <w:szCs w:val="22"/>
        </w:rPr>
      </w:pPr>
      <w:r>
        <w:fldChar w:fldCharType="begin"/>
      </w:r>
      <w:r>
        <w:instrText xml:space="preserve"> HYPERLINK \l "_Toc167459454" </w:instrText>
      </w:r>
      <w:r>
        <w:fldChar w:fldCharType="separate"/>
      </w:r>
      <w:r>
        <w:rPr>
          <w:rStyle w:val="18"/>
          <w:rFonts w:ascii="黑体" w:hAnsi="黑体" w:eastAsia="黑体"/>
          <w:lang w:val="zh-CN"/>
        </w:rPr>
        <w:t>1.4 预期经济社会效益分析</w:t>
      </w:r>
      <w:r>
        <w:tab/>
      </w:r>
      <w:r>
        <w:fldChar w:fldCharType="begin"/>
      </w:r>
      <w:r>
        <w:instrText xml:space="preserve"> PAGEREF _Toc167459454 \h </w:instrText>
      </w:r>
      <w:r>
        <w:fldChar w:fldCharType="separate"/>
      </w:r>
      <w:r>
        <w:t>4</w:t>
      </w:r>
      <w:r>
        <w:fldChar w:fldCharType="end"/>
      </w:r>
      <w:r>
        <w:fldChar w:fldCharType="end"/>
      </w:r>
    </w:p>
    <w:p w14:paraId="77CE43EC">
      <w:pPr>
        <w:pStyle w:val="13"/>
        <w:tabs>
          <w:tab w:val="right" w:leader="dot" w:pos="8296"/>
        </w:tabs>
        <w:rPr>
          <w:rFonts w:cstheme="minorBidi"/>
          <w:b w:val="0"/>
          <w:bCs w:val="0"/>
          <w:sz w:val="21"/>
          <w:szCs w:val="22"/>
        </w:rPr>
      </w:pPr>
      <w:r>
        <w:fldChar w:fldCharType="begin"/>
      </w:r>
      <w:r>
        <w:instrText xml:space="preserve"> HYPERLINK \l "_Toc167459455" </w:instrText>
      </w:r>
      <w:r>
        <w:fldChar w:fldCharType="separate"/>
      </w:r>
      <w:r>
        <w:rPr>
          <w:rStyle w:val="18"/>
          <w:rFonts w:ascii="黑体" w:hAnsi="黑体" w:eastAsia="黑体"/>
          <w:lang w:val="zh-CN"/>
        </w:rPr>
        <w:t>2．任务来源</w:t>
      </w:r>
      <w:r>
        <w:tab/>
      </w:r>
      <w:r>
        <w:fldChar w:fldCharType="begin"/>
      </w:r>
      <w:r>
        <w:instrText xml:space="preserve"> PAGEREF _Toc167459455 \h </w:instrText>
      </w:r>
      <w:r>
        <w:fldChar w:fldCharType="separate"/>
      </w:r>
      <w:r>
        <w:t>4</w:t>
      </w:r>
      <w:r>
        <w:fldChar w:fldCharType="end"/>
      </w:r>
      <w:r>
        <w:fldChar w:fldCharType="end"/>
      </w:r>
    </w:p>
    <w:p w14:paraId="23722A9F">
      <w:pPr>
        <w:pStyle w:val="13"/>
        <w:tabs>
          <w:tab w:val="right" w:leader="dot" w:pos="8296"/>
        </w:tabs>
        <w:rPr>
          <w:rFonts w:cstheme="minorBidi"/>
          <w:b w:val="0"/>
          <w:bCs w:val="0"/>
          <w:sz w:val="21"/>
          <w:szCs w:val="22"/>
        </w:rPr>
      </w:pPr>
      <w:r>
        <w:fldChar w:fldCharType="begin"/>
      </w:r>
      <w:r>
        <w:instrText xml:space="preserve"> HYPERLINK \l "_Toc167459456" </w:instrText>
      </w:r>
      <w:r>
        <w:fldChar w:fldCharType="separate"/>
      </w:r>
      <w:r>
        <w:rPr>
          <w:rStyle w:val="18"/>
          <w:rFonts w:ascii="黑体" w:hAnsi="黑体" w:eastAsia="黑体"/>
          <w:lang w:val="zh-CN"/>
        </w:rPr>
        <w:t>3．编制过程</w:t>
      </w:r>
      <w:r>
        <w:tab/>
      </w:r>
      <w:r>
        <w:fldChar w:fldCharType="begin"/>
      </w:r>
      <w:r>
        <w:instrText xml:space="preserve"> PAGEREF _Toc167459456 \h </w:instrText>
      </w:r>
      <w:r>
        <w:fldChar w:fldCharType="separate"/>
      </w:r>
      <w:r>
        <w:t>4</w:t>
      </w:r>
      <w:r>
        <w:fldChar w:fldCharType="end"/>
      </w:r>
      <w:r>
        <w:fldChar w:fldCharType="end"/>
      </w:r>
    </w:p>
    <w:p w14:paraId="53483867">
      <w:pPr>
        <w:pStyle w:val="13"/>
        <w:tabs>
          <w:tab w:val="right" w:leader="dot" w:pos="8296"/>
        </w:tabs>
        <w:rPr>
          <w:rFonts w:cstheme="minorBidi"/>
          <w:b w:val="0"/>
          <w:bCs w:val="0"/>
          <w:sz w:val="21"/>
          <w:szCs w:val="22"/>
        </w:rPr>
      </w:pPr>
      <w:r>
        <w:fldChar w:fldCharType="begin"/>
      </w:r>
      <w:r>
        <w:instrText xml:space="preserve"> HYPERLINK \l "_Toc167459457" </w:instrText>
      </w:r>
      <w:r>
        <w:fldChar w:fldCharType="separate"/>
      </w:r>
      <w:r>
        <w:rPr>
          <w:rStyle w:val="18"/>
          <w:rFonts w:ascii="黑体" w:hAnsi="黑体" w:eastAsia="黑体"/>
          <w:lang w:val="zh-CN"/>
        </w:rPr>
        <w:t>4．主要内容技术指标确立</w:t>
      </w:r>
      <w:r>
        <w:tab/>
      </w:r>
      <w:r>
        <w:fldChar w:fldCharType="begin"/>
      </w:r>
      <w:r>
        <w:instrText xml:space="preserve"> PAGEREF _Toc167459457 \h </w:instrText>
      </w:r>
      <w:r>
        <w:fldChar w:fldCharType="separate"/>
      </w:r>
      <w:r>
        <w:t>7</w:t>
      </w:r>
      <w:r>
        <w:fldChar w:fldCharType="end"/>
      </w:r>
      <w:r>
        <w:fldChar w:fldCharType="end"/>
      </w:r>
    </w:p>
    <w:p w14:paraId="41FC11B9">
      <w:pPr>
        <w:pStyle w:val="7"/>
        <w:tabs>
          <w:tab w:val="right" w:leader="dot" w:pos="8296"/>
        </w:tabs>
        <w:rPr>
          <w:rFonts w:cstheme="minorBidi"/>
          <w:sz w:val="21"/>
          <w:szCs w:val="22"/>
        </w:rPr>
      </w:pPr>
      <w:r>
        <w:fldChar w:fldCharType="begin"/>
      </w:r>
      <w:r>
        <w:instrText xml:space="preserve"> HYPERLINK \l "_Toc167459458" </w:instrText>
      </w:r>
      <w:r>
        <w:fldChar w:fldCharType="separate"/>
      </w:r>
      <w:r>
        <w:rPr>
          <w:rStyle w:val="18"/>
          <w:rFonts w:ascii="黑体" w:hAnsi="黑体" w:eastAsia="黑体"/>
          <w:lang w:val="zh-CN"/>
        </w:rPr>
        <w:t>4.1编制原则</w:t>
      </w:r>
      <w:r>
        <w:tab/>
      </w:r>
      <w:r>
        <w:fldChar w:fldCharType="begin"/>
      </w:r>
      <w:r>
        <w:instrText xml:space="preserve"> PAGEREF _Toc167459458 \h </w:instrText>
      </w:r>
      <w:r>
        <w:fldChar w:fldCharType="separate"/>
      </w:r>
      <w:r>
        <w:t>7</w:t>
      </w:r>
      <w:r>
        <w:fldChar w:fldCharType="end"/>
      </w:r>
      <w:r>
        <w:fldChar w:fldCharType="end"/>
      </w:r>
    </w:p>
    <w:p w14:paraId="753E9063">
      <w:pPr>
        <w:pStyle w:val="7"/>
        <w:tabs>
          <w:tab w:val="right" w:leader="dot" w:pos="8296"/>
        </w:tabs>
        <w:rPr>
          <w:rFonts w:cstheme="minorBidi"/>
          <w:sz w:val="21"/>
          <w:szCs w:val="22"/>
        </w:rPr>
      </w:pPr>
      <w:r>
        <w:fldChar w:fldCharType="begin"/>
      </w:r>
      <w:r>
        <w:instrText xml:space="preserve"> HYPERLINK \l "_Toc167459459" </w:instrText>
      </w:r>
      <w:r>
        <w:fldChar w:fldCharType="separate"/>
      </w:r>
      <w:r>
        <w:rPr>
          <w:rStyle w:val="18"/>
          <w:rFonts w:ascii="黑体" w:hAnsi="黑体" w:eastAsia="黑体"/>
          <w:lang w:val="zh-CN"/>
        </w:rPr>
        <w:t>4.2编制依据</w:t>
      </w:r>
      <w:r>
        <w:tab/>
      </w:r>
      <w:r>
        <w:fldChar w:fldCharType="begin"/>
      </w:r>
      <w:r>
        <w:instrText xml:space="preserve"> PAGEREF _Toc167459459 \h </w:instrText>
      </w:r>
      <w:r>
        <w:fldChar w:fldCharType="separate"/>
      </w:r>
      <w:r>
        <w:t>7</w:t>
      </w:r>
      <w:r>
        <w:fldChar w:fldCharType="end"/>
      </w:r>
      <w:r>
        <w:fldChar w:fldCharType="end"/>
      </w:r>
    </w:p>
    <w:p w14:paraId="5D14FD7A">
      <w:pPr>
        <w:pStyle w:val="7"/>
        <w:tabs>
          <w:tab w:val="right" w:leader="dot" w:pos="8296"/>
        </w:tabs>
        <w:rPr>
          <w:rFonts w:cstheme="minorBidi"/>
          <w:sz w:val="21"/>
          <w:szCs w:val="22"/>
        </w:rPr>
      </w:pPr>
      <w:r>
        <w:fldChar w:fldCharType="begin"/>
      </w:r>
      <w:r>
        <w:instrText xml:space="preserve"> HYPERLINK \l "_Toc167459460" </w:instrText>
      </w:r>
      <w:r>
        <w:fldChar w:fldCharType="separate"/>
      </w:r>
      <w:r>
        <w:rPr>
          <w:rStyle w:val="18"/>
          <w:rFonts w:ascii="黑体" w:hAnsi="黑体" w:eastAsia="黑体"/>
          <w:lang w:val="zh-CN"/>
        </w:rPr>
        <w:t>4.3技术路线</w:t>
      </w:r>
      <w:r>
        <w:tab/>
      </w:r>
      <w:r>
        <w:fldChar w:fldCharType="begin"/>
      </w:r>
      <w:r>
        <w:instrText xml:space="preserve"> PAGEREF _Toc167459460 \h </w:instrText>
      </w:r>
      <w:r>
        <w:fldChar w:fldCharType="separate"/>
      </w:r>
      <w:r>
        <w:t>8</w:t>
      </w:r>
      <w:r>
        <w:fldChar w:fldCharType="end"/>
      </w:r>
      <w:r>
        <w:fldChar w:fldCharType="end"/>
      </w:r>
    </w:p>
    <w:p w14:paraId="72B34299">
      <w:pPr>
        <w:pStyle w:val="7"/>
        <w:tabs>
          <w:tab w:val="right" w:leader="dot" w:pos="8296"/>
        </w:tabs>
        <w:rPr>
          <w:rFonts w:cstheme="minorBidi"/>
          <w:sz w:val="21"/>
          <w:szCs w:val="22"/>
        </w:rPr>
      </w:pPr>
      <w:r>
        <w:fldChar w:fldCharType="begin"/>
      </w:r>
      <w:r>
        <w:instrText xml:space="preserve"> HYPERLINK \l "_Toc167459461" </w:instrText>
      </w:r>
      <w:r>
        <w:fldChar w:fldCharType="separate"/>
      </w:r>
      <w:r>
        <w:rPr>
          <w:rStyle w:val="18"/>
          <w:rFonts w:ascii="黑体" w:hAnsi="黑体" w:eastAsia="黑体"/>
          <w:lang w:val="zh-CN"/>
        </w:rPr>
        <w:t>4.4编制步骤</w:t>
      </w:r>
      <w:r>
        <w:tab/>
      </w:r>
      <w:r>
        <w:fldChar w:fldCharType="begin"/>
      </w:r>
      <w:r>
        <w:instrText xml:space="preserve"> PAGEREF _Toc167459461 \h </w:instrText>
      </w:r>
      <w:r>
        <w:fldChar w:fldCharType="separate"/>
      </w:r>
      <w:r>
        <w:t>8</w:t>
      </w:r>
      <w:r>
        <w:fldChar w:fldCharType="end"/>
      </w:r>
      <w:r>
        <w:fldChar w:fldCharType="end"/>
      </w:r>
    </w:p>
    <w:p w14:paraId="64068192">
      <w:pPr>
        <w:pStyle w:val="7"/>
        <w:tabs>
          <w:tab w:val="right" w:leader="dot" w:pos="8296"/>
        </w:tabs>
        <w:rPr>
          <w:rFonts w:cstheme="minorBidi"/>
          <w:sz w:val="21"/>
          <w:szCs w:val="22"/>
        </w:rPr>
      </w:pPr>
      <w:r>
        <w:fldChar w:fldCharType="begin"/>
      </w:r>
      <w:r>
        <w:instrText xml:space="preserve"> HYPERLINK \l "_Toc167459462" </w:instrText>
      </w:r>
      <w:r>
        <w:fldChar w:fldCharType="separate"/>
      </w:r>
      <w:r>
        <w:rPr>
          <w:rStyle w:val="18"/>
          <w:rFonts w:ascii="黑体" w:hAnsi="黑体" w:eastAsia="黑体"/>
          <w:lang w:val="zh-CN"/>
        </w:rPr>
        <w:t>4.5验证分析方法及其成效</w:t>
      </w:r>
      <w:r>
        <w:tab/>
      </w:r>
      <w:r>
        <w:fldChar w:fldCharType="begin"/>
      </w:r>
      <w:r>
        <w:instrText xml:space="preserve"> PAGEREF _Toc167459462 \h </w:instrText>
      </w:r>
      <w:r>
        <w:fldChar w:fldCharType="separate"/>
      </w:r>
      <w:r>
        <w:t>8</w:t>
      </w:r>
      <w:r>
        <w:fldChar w:fldCharType="end"/>
      </w:r>
      <w:r>
        <w:fldChar w:fldCharType="end"/>
      </w:r>
    </w:p>
    <w:p w14:paraId="2C848E45">
      <w:pPr>
        <w:pStyle w:val="13"/>
        <w:tabs>
          <w:tab w:val="right" w:leader="dot" w:pos="8296"/>
        </w:tabs>
        <w:rPr>
          <w:rFonts w:cstheme="minorBidi"/>
          <w:b w:val="0"/>
          <w:bCs w:val="0"/>
          <w:sz w:val="21"/>
          <w:szCs w:val="22"/>
        </w:rPr>
      </w:pPr>
      <w:r>
        <w:fldChar w:fldCharType="begin"/>
      </w:r>
      <w:r>
        <w:instrText xml:space="preserve"> HYPERLINK \l "_Toc167459463" </w:instrText>
      </w:r>
      <w:r>
        <w:fldChar w:fldCharType="separate"/>
      </w:r>
      <w:r>
        <w:rPr>
          <w:rStyle w:val="18"/>
          <w:rFonts w:ascii="黑体" w:hAnsi="黑体" w:eastAsia="黑体"/>
          <w:lang w:val="zh-CN"/>
        </w:rPr>
        <w:t>5．与相关法律法规和标准的关系</w:t>
      </w:r>
      <w:r>
        <w:tab/>
      </w:r>
      <w:r>
        <w:fldChar w:fldCharType="begin"/>
      </w:r>
      <w:r>
        <w:instrText xml:space="preserve"> PAGEREF _Toc167459463 \h </w:instrText>
      </w:r>
      <w:r>
        <w:fldChar w:fldCharType="separate"/>
      </w:r>
      <w:r>
        <w:t>8</w:t>
      </w:r>
      <w:r>
        <w:fldChar w:fldCharType="end"/>
      </w:r>
      <w:r>
        <w:fldChar w:fldCharType="end"/>
      </w:r>
    </w:p>
    <w:p w14:paraId="59B23756">
      <w:pPr>
        <w:pStyle w:val="13"/>
        <w:tabs>
          <w:tab w:val="right" w:leader="dot" w:pos="8296"/>
        </w:tabs>
        <w:rPr>
          <w:rFonts w:cstheme="minorBidi"/>
          <w:b w:val="0"/>
          <w:bCs w:val="0"/>
          <w:sz w:val="21"/>
          <w:szCs w:val="22"/>
        </w:rPr>
      </w:pPr>
      <w:r>
        <w:fldChar w:fldCharType="begin"/>
      </w:r>
      <w:r>
        <w:instrText xml:space="preserve"> HYPERLINK \l "_Toc167459464" </w:instrText>
      </w:r>
      <w:r>
        <w:fldChar w:fldCharType="separate"/>
      </w:r>
      <w:r>
        <w:rPr>
          <w:rStyle w:val="18"/>
          <w:rFonts w:ascii="黑体" w:hAnsi="黑体" w:eastAsia="黑体"/>
          <w:lang w:val="zh-CN"/>
        </w:rPr>
        <w:t>6．实施推广建议</w:t>
      </w:r>
      <w:r>
        <w:tab/>
      </w:r>
      <w:r>
        <w:fldChar w:fldCharType="begin"/>
      </w:r>
      <w:r>
        <w:instrText xml:space="preserve"> PAGEREF _Toc167459464 \h </w:instrText>
      </w:r>
      <w:r>
        <w:fldChar w:fldCharType="separate"/>
      </w:r>
      <w:r>
        <w:t>9</w:t>
      </w:r>
      <w:r>
        <w:fldChar w:fldCharType="end"/>
      </w:r>
      <w:r>
        <w:fldChar w:fldCharType="end"/>
      </w:r>
    </w:p>
    <w:p w14:paraId="556F9D85">
      <w:pPr>
        <w:pStyle w:val="7"/>
        <w:tabs>
          <w:tab w:val="right" w:leader="dot" w:pos="8296"/>
        </w:tabs>
        <w:rPr>
          <w:rFonts w:cstheme="minorBidi"/>
          <w:sz w:val="21"/>
          <w:szCs w:val="22"/>
        </w:rPr>
      </w:pPr>
      <w:r>
        <w:fldChar w:fldCharType="begin"/>
      </w:r>
      <w:r>
        <w:instrText xml:space="preserve"> HYPERLINK \l "_Toc167459465" </w:instrText>
      </w:r>
      <w:r>
        <w:fldChar w:fldCharType="separate"/>
      </w:r>
      <w:r>
        <w:rPr>
          <w:rStyle w:val="18"/>
          <w:rFonts w:ascii="黑体" w:hAnsi="黑体" w:eastAsia="黑体"/>
          <w:lang w:val="zh-CN"/>
        </w:rPr>
        <w:t>6.1适合地域</w:t>
      </w:r>
      <w:r>
        <w:tab/>
      </w:r>
      <w:r>
        <w:fldChar w:fldCharType="begin"/>
      </w:r>
      <w:r>
        <w:instrText xml:space="preserve"> PAGEREF _Toc167459465 \h </w:instrText>
      </w:r>
      <w:r>
        <w:fldChar w:fldCharType="separate"/>
      </w:r>
      <w:r>
        <w:t>9</w:t>
      </w:r>
      <w:r>
        <w:fldChar w:fldCharType="end"/>
      </w:r>
      <w:r>
        <w:fldChar w:fldCharType="end"/>
      </w:r>
    </w:p>
    <w:p w14:paraId="7145A0D2">
      <w:pPr>
        <w:pStyle w:val="7"/>
        <w:tabs>
          <w:tab w:val="right" w:leader="dot" w:pos="8296"/>
        </w:tabs>
        <w:rPr>
          <w:rFonts w:cstheme="minorBidi"/>
          <w:sz w:val="21"/>
          <w:szCs w:val="22"/>
        </w:rPr>
      </w:pPr>
      <w:r>
        <w:fldChar w:fldCharType="begin"/>
      </w:r>
      <w:r>
        <w:instrText xml:space="preserve"> HYPERLINK \l "_Toc167459466" </w:instrText>
      </w:r>
      <w:r>
        <w:fldChar w:fldCharType="separate"/>
      </w:r>
      <w:r>
        <w:rPr>
          <w:rStyle w:val="18"/>
          <w:rFonts w:ascii="黑体" w:hAnsi="黑体" w:eastAsia="黑体"/>
          <w:lang w:val="zh-CN"/>
        </w:rPr>
        <w:t>6.2适合领域</w:t>
      </w:r>
      <w:r>
        <w:tab/>
      </w:r>
      <w:r>
        <w:fldChar w:fldCharType="begin"/>
      </w:r>
      <w:r>
        <w:instrText xml:space="preserve"> PAGEREF _Toc167459466 \h </w:instrText>
      </w:r>
      <w:r>
        <w:fldChar w:fldCharType="separate"/>
      </w:r>
      <w:r>
        <w:t>9</w:t>
      </w:r>
      <w:r>
        <w:fldChar w:fldCharType="end"/>
      </w:r>
      <w:r>
        <w:fldChar w:fldCharType="end"/>
      </w:r>
    </w:p>
    <w:p w14:paraId="08E80353">
      <w:pPr>
        <w:pStyle w:val="7"/>
        <w:tabs>
          <w:tab w:val="right" w:leader="dot" w:pos="8296"/>
        </w:tabs>
        <w:rPr>
          <w:rFonts w:cstheme="minorBidi"/>
          <w:sz w:val="21"/>
          <w:szCs w:val="22"/>
        </w:rPr>
      </w:pPr>
      <w:r>
        <w:fldChar w:fldCharType="begin"/>
      </w:r>
      <w:r>
        <w:instrText xml:space="preserve"> HYPERLINK \l "_Toc167459467" </w:instrText>
      </w:r>
      <w:r>
        <w:fldChar w:fldCharType="separate"/>
      </w:r>
      <w:r>
        <w:rPr>
          <w:rStyle w:val="18"/>
          <w:rFonts w:ascii="黑体" w:hAnsi="黑体" w:eastAsia="黑体"/>
          <w:lang w:val="zh-CN"/>
        </w:rPr>
        <w:t>6.3推广注意事项</w:t>
      </w:r>
      <w:r>
        <w:tab/>
      </w:r>
      <w:r>
        <w:fldChar w:fldCharType="begin"/>
      </w:r>
      <w:r>
        <w:instrText xml:space="preserve"> PAGEREF _Toc167459467 \h </w:instrText>
      </w:r>
      <w:r>
        <w:fldChar w:fldCharType="separate"/>
      </w:r>
      <w:r>
        <w:t>9</w:t>
      </w:r>
      <w:r>
        <w:fldChar w:fldCharType="end"/>
      </w:r>
      <w:r>
        <w:fldChar w:fldCharType="end"/>
      </w:r>
    </w:p>
    <w:p w14:paraId="0B44B085">
      <w:pPr>
        <w:autoSpaceDE w:val="0"/>
        <w:autoSpaceDN w:val="0"/>
        <w:adjustRightInd w:val="0"/>
        <w:ind w:firstLine="3360" w:firstLineChars="1200"/>
        <w:jc w:val="left"/>
        <w:rPr>
          <w:rFonts w:ascii="宋体" w:hAnsi="宋体"/>
          <w:spacing w:val="20"/>
          <w:sz w:val="24"/>
          <w:lang w:val="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ascii="宋体" w:hAnsi="宋体"/>
          <w:spacing w:val="20"/>
          <w:sz w:val="24"/>
          <w:lang w:val="zh-CN"/>
        </w:rPr>
        <w:fldChar w:fldCharType="end"/>
      </w:r>
    </w:p>
    <w:p w14:paraId="4600DEB4">
      <w:pPr>
        <w:pStyle w:val="3"/>
        <w:spacing w:before="0" w:after="0" w:line="360" w:lineRule="auto"/>
        <w:ind w:firstLine="0" w:firstLineChars="0"/>
        <w:rPr>
          <w:rFonts w:ascii="黑体" w:hAnsi="黑体" w:eastAsia="黑体"/>
          <w:b w:val="0"/>
          <w:sz w:val="28"/>
          <w:szCs w:val="28"/>
          <w:lang w:val="zh-CN"/>
        </w:rPr>
      </w:pPr>
      <w:bookmarkStart w:id="0" w:name="_Toc167459450"/>
      <w:r>
        <w:rPr>
          <w:rFonts w:hint="eastAsia" w:ascii="黑体" w:hAnsi="黑体" w:eastAsia="黑体"/>
          <w:b w:val="0"/>
          <w:sz w:val="28"/>
          <w:szCs w:val="28"/>
          <w:lang w:val="zh-CN"/>
        </w:rPr>
        <w:t>1．</w:t>
      </w:r>
      <w:r>
        <w:rPr>
          <w:rFonts w:ascii="黑体" w:hAnsi="黑体" w:eastAsia="黑体"/>
          <w:b w:val="0"/>
          <w:sz w:val="28"/>
          <w:szCs w:val="28"/>
          <w:lang w:val="zh-CN"/>
        </w:rPr>
        <w:t>目的意义</w:t>
      </w:r>
      <w:bookmarkEnd w:id="0"/>
    </w:p>
    <w:p w14:paraId="46CBECC5">
      <w:pPr>
        <w:pStyle w:val="4"/>
        <w:spacing w:before="120" w:after="120" w:line="360" w:lineRule="auto"/>
        <w:ind w:firstLine="0" w:firstLineChars="0"/>
        <w:rPr>
          <w:rFonts w:ascii="黑体" w:hAnsi="黑体" w:eastAsia="黑体"/>
          <w:b w:val="0"/>
          <w:sz w:val="24"/>
          <w:szCs w:val="24"/>
          <w:lang w:val="zh-CN"/>
        </w:rPr>
      </w:pPr>
      <w:bookmarkStart w:id="1" w:name="_Toc167459451"/>
      <w:r>
        <w:rPr>
          <w:rFonts w:ascii="黑体" w:hAnsi="黑体" w:eastAsia="黑体"/>
          <w:b w:val="0"/>
          <w:sz w:val="24"/>
          <w:szCs w:val="24"/>
          <w:lang w:val="zh-CN"/>
        </w:rPr>
        <w:t xml:space="preserve">1.1 </w:t>
      </w:r>
      <w:r>
        <w:rPr>
          <w:rFonts w:hint="eastAsia" w:ascii="黑体" w:hAnsi="黑体" w:eastAsia="黑体"/>
          <w:b w:val="0"/>
          <w:sz w:val="24"/>
          <w:szCs w:val="24"/>
          <w:lang w:val="zh-CN"/>
        </w:rPr>
        <w:t>产业</w:t>
      </w:r>
      <w:r>
        <w:rPr>
          <w:rFonts w:ascii="黑体" w:hAnsi="黑体" w:eastAsia="黑体"/>
          <w:b w:val="0"/>
          <w:sz w:val="24"/>
          <w:szCs w:val="24"/>
          <w:lang w:val="zh-CN"/>
        </w:rPr>
        <w:t>发展现状</w:t>
      </w:r>
      <w:bookmarkEnd w:id="1"/>
    </w:p>
    <w:p w14:paraId="3458AF9F">
      <w:pPr>
        <w:ind w:firstLine="480"/>
        <w:rPr>
          <w:rFonts w:asciiTheme="minorEastAsia" w:hAnsiTheme="minorEastAsia"/>
          <w:sz w:val="24"/>
        </w:rPr>
      </w:pPr>
      <w:r>
        <w:rPr>
          <w:rFonts w:hint="eastAsia" w:asciiTheme="minorEastAsia" w:hAnsiTheme="minorEastAsia"/>
          <w:sz w:val="24"/>
        </w:rPr>
        <w:t>随着我市不断创新发展，创新主体如企业、科研机构和高校等在创新能力上取得了显著进步。这些主体通过不懈的努力，积累了大量的知识产权资源，并在知识产权的管理与运用方面积累了宝贵的经验。然而，尽管知识产权的积累为创新主体带来了竞争优势，但在知识产权的保护和运用上，仍然存在一些亟待解决的问题。</w:t>
      </w:r>
    </w:p>
    <w:p w14:paraId="3F09647F">
      <w:pPr>
        <w:ind w:firstLine="480"/>
        <w:rPr>
          <w:rFonts w:asciiTheme="minorEastAsia" w:hAnsiTheme="minorEastAsia"/>
          <w:sz w:val="24"/>
        </w:rPr>
      </w:pPr>
      <w:r>
        <w:rPr>
          <w:rFonts w:hint="eastAsia" w:asciiTheme="minorEastAsia" w:hAnsiTheme="minorEastAsia"/>
          <w:sz w:val="24"/>
        </w:rPr>
        <w:t>首先，尽管专利的申请数量呈现出逐年递增的趋势，但其中涉及关键核心技术的高质量知识产权相对较少，储备不足。这意味着许多创新主体在知识产权的创造上可能还停留在表层，缺乏深入挖掘和系统布局，导致在核心技术领域的竞争力不足。为了解决这一问题，创新主体需要加大研发投入，专注于关键技术的研究与开发，同时，也需要建立起更为严格的专利质量评估体系，确保所申请的知识产权真正具有创新性、实用性和市场潜力。</w:t>
      </w:r>
    </w:p>
    <w:p w14:paraId="18D1EB89">
      <w:pPr>
        <w:ind w:firstLine="480"/>
        <w:rPr>
          <w:rFonts w:asciiTheme="minorEastAsia" w:hAnsiTheme="minorEastAsia"/>
          <w:sz w:val="24"/>
        </w:rPr>
      </w:pPr>
      <w:r>
        <w:rPr>
          <w:rFonts w:hint="eastAsia" w:asciiTheme="minorEastAsia" w:hAnsiTheme="minorEastAsia"/>
          <w:sz w:val="24"/>
        </w:rPr>
        <w:t>其次，创新主体在知识产权管理上普遍采用无差别的管理方式，导致有限的管理资源未能根据知识产权的重要程度进行合理配置。这种“一刀切”的管理策略忽视了不同知识产权在技术价值、市场潜力、法律保护等方面的差异，无法充分发挥每项知识产权的最大效用。为了优化资源配置，创新主体应当建立起知识产权分级管理制度，根据每项知识产权的特性和重要性，制定差异化的管理策略，确保关键知识产权得到足够的关注和投入。</w:t>
      </w:r>
    </w:p>
    <w:p w14:paraId="21274375">
      <w:pPr>
        <w:ind w:firstLine="480"/>
        <w:rPr>
          <w:rFonts w:asciiTheme="minorEastAsia" w:hAnsiTheme="minorEastAsia"/>
          <w:sz w:val="24"/>
        </w:rPr>
      </w:pPr>
      <w:r>
        <w:rPr>
          <w:rFonts w:hint="eastAsia" w:asciiTheme="minorEastAsia" w:hAnsiTheme="minorEastAsia"/>
          <w:sz w:val="24"/>
        </w:rPr>
        <w:t>第三，创新主体在知识产权的产业转化效率上存在不足。许多知识产权虽然具有较高的技术价值，但在转化为实际产品或服务、创造经济效益方面的表现并不理想。这可能是由于创新主体缺乏有效的转化机制，或者与市场对接不够紧密。为了提高知识产权的转化效率，创新主体需要加强与产业界的合作，探索多种转化途径，如许可、转让、合作开发等。</w:t>
      </w:r>
    </w:p>
    <w:p w14:paraId="719FC4B9">
      <w:pPr>
        <w:pStyle w:val="4"/>
        <w:spacing w:before="120" w:after="120" w:line="360" w:lineRule="auto"/>
        <w:ind w:firstLine="0" w:firstLineChars="0"/>
        <w:rPr>
          <w:rFonts w:ascii="黑体" w:hAnsi="黑体" w:eastAsia="黑体"/>
          <w:b w:val="0"/>
          <w:sz w:val="24"/>
          <w:szCs w:val="24"/>
          <w:lang w:val="zh-CN"/>
        </w:rPr>
      </w:pPr>
      <w:bookmarkStart w:id="2" w:name="_Toc167459452"/>
      <w:r>
        <w:rPr>
          <w:rFonts w:ascii="黑体" w:hAnsi="黑体" w:eastAsia="黑体"/>
          <w:b w:val="0"/>
          <w:sz w:val="24"/>
          <w:szCs w:val="24"/>
          <w:lang w:val="zh-CN"/>
        </w:rPr>
        <w:t xml:space="preserve">1.2 </w:t>
      </w:r>
      <w:r>
        <w:rPr>
          <w:rFonts w:hint="eastAsia" w:ascii="黑体" w:hAnsi="黑体" w:eastAsia="黑体"/>
          <w:b w:val="0"/>
          <w:sz w:val="24"/>
          <w:szCs w:val="24"/>
          <w:lang w:val="zh-CN"/>
        </w:rPr>
        <w:t>必要性</w:t>
      </w:r>
      <w:bookmarkEnd w:id="2"/>
    </w:p>
    <w:p w14:paraId="7DF018CE">
      <w:pPr>
        <w:pStyle w:val="5"/>
        <w:spacing w:before="120" w:after="120" w:line="360" w:lineRule="auto"/>
        <w:ind w:firstLine="0" w:firstLineChars="0"/>
        <w:rPr>
          <w:rFonts w:ascii="宋体" w:hAnsi="宋体" w:eastAsia="宋体"/>
          <w:sz w:val="24"/>
          <w:szCs w:val="24"/>
          <w:lang w:val="zh-CN"/>
        </w:rPr>
      </w:pPr>
      <w:r>
        <w:rPr>
          <w:rFonts w:hint="eastAsia" w:ascii="宋体" w:hAnsi="宋体" w:eastAsia="宋体"/>
          <w:sz w:val="24"/>
          <w:szCs w:val="24"/>
          <w:lang w:val="zh-CN"/>
        </w:rPr>
        <w:t>1</w:t>
      </w:r>
      <w:r>
        <w:rPr>
          <w:rFonts w:ascii="宋体" w:hAnsi="宋体" w:eastAsia="宋体"/>
          <w:sz w:val="24"/>
          <w:szCs w:val="24"/>
          <w:lang w:val="zh-CN"/>
        </w:rPr>
        <w:t xml:space="preserve">.2.1 </w:t>
      </w:r>
      <w:r>
        <w:rPr>
          <w:rFonts w:hint="eastAsia" w:ascii="宋体" w:hAnsi="宋体" w:eastAsia="宋体"/>
          <w:sz w:val="24"/>
          <w:szCs w:val="24"/>
          <w:lang w:val="zh-CN"/>
        </w:rPr>
        <w:t>编制目的</w:t>
      </w:r>
    </w:p>
    <w:p w14:paraId="4AB49428">
      <w:pPr>
        <w:ind w:firstLine="480"/>
        <w:rPr>
          <w:rFonts w:ascii="宋体" w:hAnsi="宋体"/>
          <w:sz w:val="24"/>
        </w:rPr>
      </w:pPr>
      <w:r>
        <w:rPr>
          <w:rFonts w:hint="eastAsia" w:ascii="宋体" w:hAnsi="宋体" w:cs="宋体"/>
          <w:sz w:val="24"/>
        </w:rPr>
        <w:t>制定《存量发明专利分类分级指南》将有利于创新主体有效识别创新成果的运用前景，</w:t>
      </w:r>
      <w:r>
        <w:rPr>
          <w:rFonts w:hint="eastAsia" w:ascii="宋体" w:hAnsi="宋体" w:cs="宋体"/>
          <w:sz w:val="24"/>
          <w:shd w:val="clear" w:color="auto" w:fill="FFFFFF"/>
        </w:rPr>
        <w:t>提升存量发明专利的产业化率和实施率，促进发明专利向现实生产力转化。</w:t>
      </w:r>
    </w:p>
    <w:p w14:paraId="3F2F65FD">
      <w:pPr>
        <w:ind w:firstLine="480"/>
        <w:rPr>
          <w:rFonts w:ascii="宋体" w:hAnsi="宋体"/>
          <w:sz w:val="24"/>
        </w:rPr>
      </w:pPr>
      <w:r>
        <w:rPr>
          <w:rFonts w:hint="eastAsia" w:ascii="宋体" w:hAnsi="宋体"/>
          <w:sz w:val="24"/>
        </w:rPr>
        <w:t>（1）提高管理效率：通过建立指南，可以帮助创新主体更有效地管理其专利资产。分类分级能够快速识别出哪些专利是关键资产，哪些可能需要维护，哪些可以放弃，从而实现资源的合理分配。</w:t>
      </w:r>
    </w:p>
    <w:p w14:paraId="7A78A656">
      <w:pPr>
        <w:ind w:firstLine="480"/>
        <w:rPr>
          <w:rFonts w:ascii="宋体" w:hAnsi="宋体"/>
          <w:sz w:val="24"/>
        </w:rPr>
      </w:pPr>
      <w:r>
        <w:rPr>
          <w:rFonts w:hint="eastAsia" w:ascii="宋体" w:hAnsi="宋体"/>
          <w:sz w:val="24"/>
        </w:rPr>
        <w:t>（2）优化资源配置：专利维护需要投入大量的时间和金钱。通过指南，可以确保关键和有价值的专利得到足够的维护和保护，而非关键专利则可以减少投入，优化资源的使用。</w:t>
      </w:r>
    </w:p>
    <w:p w14:paraId="5D7A16CC">
      <w:pPr>
        <w:ind w:firstLine="480"/>
        <w:rPr>
          <w:rFonts w:ascii="宋体" w:hAnsi="宋体"/>
          <w:sz w:val="24"/>
        </w:rPr>
      </w:pPr>
      <w:r>
        <w:rPr>
          <w:rFonts w:hint="eastAsia" w:ascii="宋体" w:hAnsi="宋体"/>
          <w:sz w:val="24"/>
        </w:rPr>
        <w:t>（3）增强竞争力：高质量的专利是创新主体竞争力的重要体现。通过指南，企业可以集中力量维护和发展那些能够带来竞争优势的专利。</w:t>
      </w:r>
    </w:p>
    <w:p w14:paraId="0B095DB5">
      <w:pPr>
        <w:ind w:firstLine="480"/>
        <w:rPr>
          <w:rFonts w:ascii="宋体" w:hAnsi="宋体"/>
          <w:sz w:val="24"/>
        </w:rPr>
      </w:pPr>
      <w:r>
        <w:rPr>
          <w:rFonts w:hint="eastAsia" w:ascii="宋体" w:hAnsi="宋体"/>
          <w:sz w:val="24"/>
        </w:rPr>
        <w:t>（4）促进专利转化：指南有助于识别具有商业化潜力的专利，从而促进这些专利的转化和实施，为创新主体带来经济效益。</w:t>
      </w:r>
    </w:p>
    <w:p w14:paraId="74B02735">
      <w:pPr>
        <w:ind w:firstLine="480"/>
        <w:rPr>
          <w:rFonts w:ascii="宋体" w:hAnsi="宋体"/>
          <w:sz w:val="24"/>
        </w:rPr>
      </w:pPr>
      <w:r>
        <w:rPr>
          <w:rFonts w:hint="eastAsia" w:ascii="宋体" w:hAnsi="宋体"/>
          <w:sz w:val="24"/>
        </w:rPr>
        <w:t>（5）风险管理：专利的法律状态和市场价值可能会随时间而变化。指南可以帮助企业及时识别和管理这些风险，避免因专利失效而造成的损失。</w:t>
      </w:r>
    </w:p>
    <w:p w14:paraId="1AEAC6FE">
      <w:pPr>
        <w:ind w:firstLine="480"/>
        <w:rPr>
          <w:rFonts w:ascii="宋体" w:hAnsi="宋体"/>
          <w:sz w:val="24"/>
        </w:rPr>
      </w:pPr>
      <w:r>
        <w:rPr>
          <w:rFonts w:hint="eastAsia" w:ascii="宋体" w:hAnsi="宋体"/>
          <w:sz w:val="24"/>
        </w:rPr>
        <w:t>（6）支持决策制定：指南提供了一种标准化的方法来评估专利的价值和潜力，这为创新主体管理层提供了重要的决策支持。</w:t>
      </w:r>
    </w:p>
    <w:p w14:paraId="1B640DBF">
      <w:pPr>
        <w:ind w:firstLine="480"/>
        <w:rPr>
          <w:sz w:val="24"/>
        </w:rPr>
      </w:pPr>
      <w:r>
        <w:rPr>
          <w:rFonts w:hint="eastAsia" w:ascii="宋体" w:hAnsi="宋体"/>
          <w:sz w:val="24"/>
        </w:rPr>
        <w:t>（7）提高专利质量：通过指南，创新主体可以识别出低质量的专利，并采取措施提高专利的撰写和申请质量，从而提升整体专利组合的质量。</w:t>
      </w:r>
    </w:p>
    <w:p w14:paraId="401ACE23">
      <w:pPr>
        <w:pStyle w:val="5"/>
        <w:spacing w:before="120" w:after="120" w:line="360" w:lineRule="auto"/>
        <w:ind w:firstLine="0" w:firstLineChars="0"/>
        <w:rPr>
          <w:rFonts w:ascii="宋体" w:hAnsi="宋体" w:eastAsia="宋体"/>
          <w:sz w:val="24"/>
          <w:szCs w:val="24"/>
          <w:lang w:val="zh-CN"/>
        </w:rPr>
      </w:pPr>
      <w:r>
        <w:rPr>
          <w:rFonts w:hint="eastAsia" w:ascii="宋体" w:hAnsi="宋体" w:eastAsia="宋体"/>
          <w:sz w:val="24"/>
          <w:szCs w:val="24"/>
          <w:lang w:val="zh-CN"/>
        </w:rPr>
        <w:t>1.2</w:t>
      </w:r>
      <w:r>
        <w:rPr>
          <w:rFonts w:ascii="宋体" w:hAnsi="宋体" w:eastAsia="宋体"/>
          <w:sz w:val="24"/>
          <w:szCs w:val="24"/>
          <w:lang w:val="zh-CN"/>
        </w:rPr>
        <w:t>.</w:t>
      </w:r>
      <w:r>
        <w:rPr>
          <w:rFonts w:hint="eastAsia" w:ascii="宋体" w:hAnsi="宋体" w:eastAsia="宋体"/>
          <w:sz w:val="24"/>
          <w:szCs w:val="24"/>
          <w:lang w:val="zh-CN"/>
        </w:rPr>
        <w:t>2 编制</w:t>
      </w:r>
      <w:r>
        <w:rPr>
          <w:rFonts w:ascii="宋体" w:hAnsi="宋体" w:eastAsia="宋体"/>
          <w:sz w:val="24"/>
          <w:szCs w:val="24"/>
          <w:lang w:val="zh-CN"/>
        </w:rPr>
        <w:t>意义</w:t>
      </w:r>
    </w:p>
    <w:p w14:paraId="6CCCA776">
      <w:pPr>
        <w:ind w:firstLine="480"/>
        <w:rPr>
          <w:rFonts w:ascii="宋体" w:hAnsi="宋体" w:cs="宋体"/>
          <w:sz w:val="24"/>
        </w:rPr>
      </w:pPr>
      <w:r>
        <w:rPr>
          <w:rFonts w:hint="eastAsia" w:ascii="宋体" w:hAnsi="宋体" w:cs="宋体"/>
          <w:sz w:val="24"/>
        </w:rPr>
        <w:t>为贯彻落实《知识产权强国建设纲要（2021—2035年）》和《“十四五”国家知识产权保护和运用规划》，大力推动专利产业化，加快创新成果向现实生产力转化，国家多部委先后出台文件，要求各地对存量专利进行分类分级，盘活专利资产，提升专利运用效率。</w:t>
      </w:r>
    </w:p>
    <w:p w14:paraId="740F76E2">
      <w:pPr>
        <w:ind w:firstLine="480"/>
        <w:rPr>
          <w:rFonts w:ascii="宋体" w:hAnsi="宋体" w:cs="宋体"/>
          <w:sz w:val="24"/>
        </w:rPr>
      </w:pPr>
      <w:r>
        <w:rPr>
          <w:rFonts w:hint="eastAsia" w:ascii="宋体" w:hAnsi="宋体" w:cs="宋体"/>
          <w:sz w:val="24"/>
        </w:rPr>
        <w:t>2023年10月，国务院办公厅印发《专利转化运用专项行动方案（2023—2025年）》（国办发〔2023〕37号），方案要求“梳理盘活存量专利。建立市场导向的存量专利筛选评价、供需对接、推广应用、跟踪反馈机制。”</w:t>
      </w:r>
    </w:p>
    <w:p w14:paraId="3790B0DC">
      <w:pPr>
        <w:ind w:firstLine="480"/>
        <w:rPr>
          <w:rFonts w:ascii="宋体" w:hAnsi="宋体" w:cs="宋体"/>
          <w:sz w:val="24"/>
        </w:rPr>
      </w:pPr>
      <w:r>
        <w:rPr>
          <w:rFonts w:ascii="宋体" w:hAnsi="宋体" w:cs="宋体"/>
          <w:sz w:val="24"/>
        </w:rPr>
        <w:t>2024</w:t>
      </w:r>
      <w:r>
        <w:rPr>
          <w:rFonts w:hint="eastAsia" w:ascii="宋体" w:hAnsi="宋体" w:cs="宋体"/>
          <w:sz w:val="24"/>
        </w:rPr>
        <w:t>年1月，国知局、教育部等八部门发布《高校和科研机构存量专利盘活工作方案》，要求“按照‘全面盘点、筛选入库、市场评价、分层推广’的原则，坚持‘边盘点、边推广、边转化’的工作思路，充分调动各类市场主体和专业服务机构的积极性和能动性，从盘活存量和做优增量两方面发力，在与企业有效对接的基础上引导高校和科研机构形成更多符合产业需要的高价值专利。”</w:t>
      </w:r>
    </w:p>
    <w:p w14:paraId="04554855">
      <w:pPr>
        <w:ind w:firstLine="480"/>
        <w:rPr>
          <w:rFonts w:ascii="宋体" w:hAnsi="宋体"/>
          <w:sz w:val="24"/>
        </w:rPr>
      </w:pPr>
      <w:r>
        <w:rPr>
          <w:rFonts w:hint="eastAsia" w:ascii="宋体" w:hAnsi="宋体" w:cs="宋体"/>
          <w:sz w:val="24"/>
        </w:rPr>
        <w:t>在此背景下，制定《存量发明专利分类分级指南》将有利于创新主体有效识别创新成果的运用前景，</w:t>
      </w:r>
      <w:r>
        <w:rPr>
          <w:rFonts w:hint="eastAsia" w:ascii="宋体" w:hAnsi="宋体" w:cs="宋体"/>
          <w:sz w:val="24"/>
          <w:shd w:val="clear" w:color="auto" w:fill="FFFFFF"/>
        </w:rPr>
        <w:t>提升存量发明专利的产业化率和实施率，促进发明专利向现实生产力转化。</w:t>
      </w:r>
    </w:p>
    <w:p w14:paraId="0A76E5D7">
      <w:pPr>
        <w:pStyle w:val="4"/>
        <w:spacing w:before="120" w:after="120" w:line="360" w:lineRule="auto"/>
        <w:ind w:firstLine="0" w:firstLineChars="0"/>
        <w:rPr>
          <w:rFonts w:ascii="黑体" w:hAnsi="黑体" w:eastAsia="黑体"/>
          <w:b w:val="0"/>
          <w:sz w:val="24"/>
          <w:szCs w:val="24"/>
          <w:lang w:val="zh-CN"/>
        </w:rPr>
      </w:pPr>
      <w:bookmarkStart w:id="3" w:name="_Toc167459453"/>
      <w:r>
        <w:rPr>
          <w:rFonts w:ascii="黑体" w:hAnsi="黑体" w:eastAsia="黑体"/>
          <w:b w:val="0"/>
          <w:sz w:val="24"/>
          <w:szCs w:val="24"/>
          <w:lang w:val="zh-CN"/>
        </w:rPr>
        <w:t xml:space="preserve">1.3 </w:t>
      </w:r>
      <w:r>
        <w:rPr>
          <w:rFonts w:hint="eastAsia" w:ascii="黑体" w:hAnsi="黑体" w:eastAsia="黑体"/>
          <w:b w:val="0"/>
          <w:sz w:val="24"/>
          <w:szCs w:val="24"/>
          <w:lang w:val="zh-CN"/>
        </w:rPr>
        <w:t>可行性</w:t>
      </w:r>
      <w:bookmarkEnd w:id="3"/>
    </w:p>
    <w:p w14:paraId="008FD8E2">
      <w:pPr>
        <w:ind w:firstLine="240" w:firstLineChars="100"/>
        <w:rPr>
          <w:rFonts w:ascii="宋体" w:hAnsi="宋体" w:cs="宋体"/>
          <w:bCs/>
          <w:sz w:val="24"/>
        </w:rPr>
      </w:pPr>
      <w:r>
        <w:rPr>
          <w:rFonts w:hint="eastAsia" w:ascii="宋体" w:hAnsi="宋体" w:cs="宋体"/>
          <w:bCs/>
          <w:sz w:val="24"/>
        </w:rPr>
        <w:t>（1）国家政策的支持</w:t>
      </w:r>
    </w:p>
    <w:p w14:paraId="0ED0D5A3">
      <w:pPr>
        <w:ind w:firstLine="480"/>
        <w:rPr>
          <w:rFonts w:ascii="宋体" w:hAnsi="宋体" w:cs="宋体"/>
          <w:sz w:val="24"/>
        </w:rPr>
      </w:pPr>
      <w:r>
        <w:rPr>
          <w:rFonts w:hint="eastAsia" w:ascii="宋体" w:hAnsi="宋体" w:cs="宋体"/>
          <w:sz w:val="24"/>
        </w:rPr>
        <w:t>2021年10月，国务院印发了《“十四五”国家知识产权保护和运用规划》，针对知识产权转移转化效益不高的现状提出要提升创新主体知识产权管理效能，分类分级开展企业、高校、科研院所知识产权优势培育和建设工作。2023年10月17日，国务院办公厅印发《专利转化运用专项行动方案（2023－2025年）》（国办发〔2023〕37号），对我国大力推动专利产业化，加快创新成果向现实生产力转化做出专项部署，提出梳理盘活高校和科研机构存量专利，以专利产业化促进中小企业成长。从国家政策层面上来说，当前已充分具备施行存量发明专利分类分级指南标准的可行性。</w:t>
      </w:r>
    </w:p>
    <w:p w14:paraId="27269F80">
      <w:pPr>
        <w:ind w:firstLine="240" w:firstLineChars="100"/>
        <w:rPr>
          <w:rFonts w:ascii="宋体" w:hAnsi="宋体" w:cs="宋体"/>
          <w:bCs/>
          <w:sz w:val="24"/>
        </w:rPr>
      </w:pPr>
      <w:r>
        <w:rPr>
          <w:rFonts w:hint="eastAsia" w:ascii="宋体" w:hAnsi="宋体" w:cs="宋体"/>
          <w:bCs/>
          <w:sz w:val="24"/>
        </w:rPr>
        <w:t>（2）有关研究基础和前期研究成果</w:t>
      </w:r>
    </w:p>
    <w:p w14:paraId="19459C04">
      <w:pPr>
        <w:ind w:firstLine="480"/>
        <w:rPr>
          <w:rFonts w:ascii="宋体" w:hAnsi="宋体" w:cs="宋体"/>
          <w:sz w:val="24"/>
        </w:rPr>
      </w:pPr>
      <w:r>
        <w:rPr>
          <w:rFonts w:hint="eastAsia" w:ascii="宋体" w:hAnsi="宋体" w:cs="宋体"/>
          <w:sz w:val="24"/>
        </w:rPr>
        <w:t>南通市知识产权保护中心</w:t>
      </w:r>
      <w:r>
        <w:rPr>
          <w:rFonts w:hint="eastAsia" w:ascii="宋体" w:hAnsi="宋体" w:cs="宋体"/>
          <w:kern w:val="0"/>
          <w:sz w:val="24"/>
          <w:shd w:val="clear" w:color="auto" w:fill="FFFFFF"/>
        </w:rPr>
        <w:t>已经初步通过对南通存量专利的分析，</w:t>
      </w:r>
      <w:r>
        <w:rPr>
          <w:rFonts w:hint="eastAsia" w:ascii="宋体" w:hAnsi="宋体" w:cs="宋体"/>
          <w:kern w:val="0"/>
          <w:sz w:val="24"/>
        </w:rPr>
        <w:t>开发了“企业专利数据分析调研系统”，为企业专利布局运营提供方向以及指导性建议，并且近年来先后开展重点产业领域的专利导航分析项目。</w:t>
      </w:r>
      <w:r>
        <w:rPr>
          <w:rFonts w:hint="eastAsia" w:ascii="宋体" w:hAnsi="宋体" w:cs="宋体"/>
          <w:sz w:val="24"/>
        </w:rPr>
        <w:t>从工作基础层面上来说，当前已充分具备施行存量发明专利分类分级指南标准的可行性。</w:t>
      </w:r>
    </w:p>
    <w:p w14:paraId="4A580281">
      <w:pPr>
        <w:ind w:firstLine="240" w:firstLineChars="100"/>
        <w:rPr>
          <w:rFonts w:ascii="宋体" w:hAnsi="宋体" w:cs="宋体"/>
          <w:bCs/>
          <w:sz w:val="24"/>
        </w:rPr>
      </w:pPr>
      <w:r>
        <w:rPr>
          <w:rFonts w:hint="eastAsia" w:ascii="宋体" w:hAnsi="宋体" w:cs="宋体"/>
          <w:bCs/>
          <w:sz w:val="24"/>
        </w:rPr>
        <w:t>（3）可操作性</w:t>
      </w:r>
    </w:p>
    <w:p w14:paraId="0AB5F716">
      <w:pPr>
        <w:ind w:firstLine="480"/>
        <w:rPr>
          <w:rFonts w:ascii="宋体" w:hAnsi="宋体" w:cs="宋体"/>
          <w:sz w:val="24"/>
        </w:rPr>
      </w:pPr>
      <w:r>
        <w:rPr>
          <w:rFonts w:hint="eastAsia" w:ascii="宋体" w:hAnsi="宋体" w:cs="宋体"/>
          <w:sz w:val="24"/>
        </w:rPr>
        <w:t>存量发明专利分类分级指南建立在科学的基础上，结合南通市实际，提供科学的、全面的评价指标体系，并且利用大数据等手段，对海量存量发明专利数据进行分类分级。在执行标准时，制定详细的操作流程、评分细节和定期更新等方面的规定，最大限度地反映存量专利的真实价值，提升存量的专利管理以及转化运用效能。从可操作性层面上来说，当前已充分具备施行存量发明专利分类分级指南标准的可行性。</w:t>
      </w:r>
    </w:p>
    <w:p w14:paraId="14340EA0">
      <w:pPr>
        <w:ind w:firstLine="240" w:firstLineChars="100"/>
        <w:rPr>
          <w:rFonts w:ascii="宋体" w:hAnsi="宋体" w:cs="宋体"/>
          <w:bCs/>
          <w:sz w:val="24"/>
        </w:rPr>
      </w:pPr>
      <w:r>
        <w:rPr>
          <w:rFonts w:hint="eastAsia" w:ascii="宋体" w:hAnsi="宋体" w:cs="宋体"/>
          <w:bCs/>
          <w:sz w:val="24"/>
        </w:rPr>
        <w:t>（4）经济合理性</w:t>
      </w:r>
    </w:p>
    <w:p w14:paraId="2D87AAF0">
      <w:pPr>
        <w:ind w:firstLine="480"/>
        <w:jc w:val="left"/>
        <w:rPr>
          <w:rFonts w:ascii="宋体" w:hAnsi="宋体"/>
          <w:sz w:val="24"/>
        </w:rPr>
      </w:pPr>
      <w:r>
        <w:rPr>
          <w:rFonts w:hint="eastAsia" w:ascii="宋体" w:hAnsi="宋体" w:cs="宋体"/>
          <w:sz w:val="24"/>
        </w:rPr>
        <w:t>通过优化资源配置、提高检索效率等方式，可以大大降低管理、运营成本并提高经济效益。同时，通过存量发明专利分类分级，可以帮助企业、高校、研究机构等创新主体更好地挖掘潜在价值，促进高价值专利实现产业化，进一步促进科技进步和社会发展。从经济合理性层面上来说，当前已充分具备施行存量发明专利分类分级指南标准的可行性。</w:t>
      </w:r>
    </w:p>
    <w:p w14:paraId="2F129777">
      <w:pPr>
        <w:pStyle w:val="4"/>
        <w:spacing w:before="120" w:after="120" w:line="360" w:lineRule="auto"/>
        <w:ind w:firstLine="0" w:firstLineChars="0"/>
        <w:rPr>
          <w:rFonts w:ascii="黑体" w:hAnsi="黑体" w:eastAsia="黑体"/>
          <w:b w:val="0"/>
          <w:sz w:val="24"/>
          <w:szCs w:val="24"/>
          <w:lang w:val="zh-CN"/>
        </w:rPr>
      </w:pPr>
      <w:bookmarkStart w:id="4" w:name="_Toc167459454"/>
      <w:r>
        <w:rPr>
          <w:rFonts w:ascii="黑体" w:hAnsi="黑体" w:eastAsia="黑体"/>
          <w:b w:val="0"/>
          <w:sz w:val="24"/>
          <w:szCs w:val="24"/>
          <w:lang w:val="zh-CN"/>
        </w:rPr>
        <w:t xml:space="preserve">1.4 </w:t>
      </w:r>
      <w:r>
        <w:rPr>
          <w:rFonts w:hint="eastAsia" w:ascii="黑体" w:hAnsi="黑体" w:eastAsia="黑体"/>
          <w:b w:val="0"/>
          <w:sz w:val="24"/>
          <w:szCs w:val="24"/>
          <w:lang w:val="zh-CN"/>
        </w:rPr>
        <w:t>预期</w:t>
      </w:r>
      <w:r>
        <w:rPr>
          <w:rFonts w:ascii="黑体" w:hAnsi="黑体" w:eastAsia="黑体"/>
          <w:b w:val="0"/>
          <w:sz w:val="24"/>
          <w:szCs w:val="24"/>
          <w:lang w:val="zh-CN"/>
        </w:rPr>
        <w:t>经济社会效益</w:t>
      </w:r>
      <w:r>
        <w:rPr>
          <w:rFonts w:hint="eastAsia" w:ascii="黑体" w:hAnsi="黑体" w:eastAsia="黑体"/>
          <w:b w:val="0"/>
          <w:sz w:val="24"/>
          <w:szCs w:val="24"/>
          <w:lang w:val="zh-CN"/>
        </w:rPr>
        <w:t>分析</w:t>
      </w:r>
      <w:bookmarkEnd w:id="4"/>
    </w:p>
    <w:p w14:paraId="333974EF">
      <w:pPr>
        <w:ind w:firstLine="480"/>
        <w:jc w:val="left"/>
        <w:rPr>
          <w:sz w:val="24"/>
          <w:szCs w:val="21"/>
        </w:rPr>
      </w:pPr>
      <w:r>
        <w:rPr>
          <w:rFonts w:hint="eastAsia"/>
          <w:sz w:val="24"/>
          <w:szCs w:val="21"/>
        </w:rPr>
        <w:t>（1）经济</w:t>
      </w:r>
      <w:r>
        <w:rPr>
          <w:sz w:val="24"/>
          <w:szCs w:val="21"/>
        </w:rPr>
        <w:t>效益</w:t>
      </w:r>
    </w:p>
    <w:p w14:paraId="103F2638">
      <w:pPr>
        <w:ind w:firstLine="480"/>
        <w:jc w:val="left"/>
        <w:rPr>
          <w:sz w:val="24"/>
          <w:szCs w:val="21"/>
        </w:rPr>
      </w:pPr>
      <w:r>
        <w:rPr>
          <w:rFonts w:hint="eastAsia" w:ascii="宋体" w:hAnsi="宋体" w:cs="宋体"/>
          <w:sz w:val="24"/>
        </w:rPr>
        <w:t>《存量发明专利分类分级指南》的</w:t>
      </w:r>
      <w:r>
        <w:rPr>
          <w:rFonts w:hint="eastAsia" w:ascii="宋体" w:hAnsi="宋体" w:cs="宋体"/>
          <w:sz w:val="24"/>
          <w:shd w:val="clear" w:color="auto" w:fill="FFFFFF"/>
        </w:rPr>
        <w:t>制定</w:t>
      </w:r>
      <w:r>
        <w:rPr>
          <w:rFonts w:hint="eastAsia" w:ascii="宋体" w:hAnsi="宋体" w:cs="宋体"/>
          <w:sz w:val="24"/>
        </w:rPr>
        <w:t>，有利于我市企业、高等学校、科研机构等创新主体提升专利管理水平、降低运营成本、提升专利运营的效率、效果和效益</w:t>
      </w:r>
      <w:r>
        <w:rPr>
          <w:rFonts w:hint="eastAsia" w:ascii="宋体" w:hAnsi="宋体" w:cs="宋体"/>
          <w:sz w:val="24"/>
          <w:shd w:val="clear" w:color="auto" w:fill="FFFFFF"/>
        </w:rPr>
        <w:t>。有利于创新主体识别核心专利优先开展专利转化运用，储备可评奖、可转化的优质资源，提升企业竞争力。</w:t>
      </w:r>
    </w:p>
    <w:p w14:paraId="310F645D">
      <w:pPr>
        <w:ind w:firstLine="480"/>
        <w:jc w:val="left"/>
        <w:rPr>
          <w:sz w:val="24"/>
          <w:szCs w:val="21"/>
        </w:rPr>
      </w:pPr>
      <w:r>
        <w:rPr>
          <w:rFonts w:hint="eastAsia"/>
          <w:sz w:val="24"/>
          <w:szCs w:val="21"/>
        </w:rPr>
        <w:t>（2）社会</w:t>
      </w:r>
      <w:r>
        <w:rPr>
          <w:sz w:val="24"/>
          <w:szCs w:val="21"/>
        </w:rPr>
        <w:t>效益</w:t>
      </w:r>
    </w:p>
    <w:p w14:paraId="68101BF1">
      <w:pPr>
        <w:ind w:firstLine="480"/>
        <w:rPr>
          <w:lang w:val="zh-CN"/>
        </w:rPr>
      </w:pPr>
      <w:r>
        <w:rPr>
          <w:rFonts w:hint="eastAsia" w:ascii="宋体" w:hAnsi="宋体" w:cs="宋体"/>
          <w:sz w:val="24"/>
        </w:rPr>
        <w:t>《存量发明专利分类分级指南》的</w:t>
      </w:r>
      <w:r>
        <w:rPr>
          <w:rFonts w:hint="eastAsia" w:ascii="宋体" w:hAnsi="宋体" w:cs="宋体"/>
          <w:sz w:val="24"/>
          <w:shd w:val="clear" w:color="auto" w:fill="FFFFFF"/>
        </w:rPr>
        <w:t>制定</w:t>
      </w:r>
      <w:r>
        <w:rPr>
          <w:rFonts w:hint="eastAsia" w:ascii="宋体" w:hAnsi="宋体" w:cs="宋体"/>
          <w:sz w:val="24"/>
        </w:rPr>
        <w:t>，将有效贯彻落实国家知识产权高标准、高质量发展要求，</w:t>
      </w:r>
      <w:r>
        <w:rPr>
          <w:rFonts w:hint="eastAsia" w:ascii="宋体" w:hAnsi="宋体" w:cs="宋体"/>
          <w:sz w:val="24"/>
          <w:shd w:val="clear" w:color="auto" w:fill="FFFFFF"/>
        </w:rPr>
        <w:t>强化专利成果转化在创新主体关键核心技术成果转化中的引领和保障作用，对提高知识产权公共服务效能、优化创新发展生态环境具有重要意义。</w:t>
      </w:r>
      <w:r>
        <w:rPr>
          <w:rFonts w:hint="eastAsia" w:ascii="宋体" w:hAnsi="宋体" w:cs="宋体"/>
          <w:sz w:val="24"/>
        </w:rPr>
        <w:t>将</w:t>
      </w:r>
      <w:r>
        <w:rPr>
          <w:rFonts w:hint="eastAsia" w:ascii="宋体" w:hAnsi="宋体" w:cs="宋体"/>
          <w:sz w:val="24"/>
          <w:shd w:val="clear" w:color="auto" w:fill="FFFFFF"/>
        </w:rPr>
        <w:t>推动提升我市存量发明专利的产业化率和实施率，促进发明专利向现实生产力转化。</w:t>
      </w:r>
    </w:p>
    <w:p w14:paraId="71519736">
      <w:pPr>
        <w:pStyle w:val="3"/>
        <w:spacing w:before="0" w:after="0" w:line="360" w:lineRule="auto"/>
        <w:ind w:firstLine="0" w:firstLineChars="0"/>
        <w:rPr>
          <w:rFonts w:ascii="黑体" w:hAnsi="黑体" w:eastAsia="黑体"/>
          <w:b w:val="0"/>
          <w:sz w:val="28"/>
          <w:szCs w:val="28"/>
          <w:lang w:val="zh-CN"/>
        </w:rPr>
      </w:pPr>
      <w:bookmarkStart w:id="5" w:name="_Toc167459455"/>
      <w:r>
        <w:rPr>
          <w:rFonts w:ascii="黑体" w:hAnsi="黑体" w:eastAsia="黑体"/>
          <w:b w:val="0"/>
          <w:sz w:val="28"/>
          <w:szCs w:val="28"/>
          <w:lang w:val="zh-CN"/>
        </w:rPr>
        <w:t>2</w:t>
      </w:r>
      <w:r>
        <w:rPr>
          <w:rFonts w:hint="eastAsia" w:ascii="黑体" w:hAnsi="黑体" w:eastAsia="黑体"/>
          <w:b w:val="0"/>
          <w:sz w:val="28"/>
          <w:szCs w:val="28"/>
          <w:lang w:val="zh-CN"/>
        </w:rPr>
        <w:t>．任务来源</w:t>
      </w:r>
      <w:bookmarkEnd w:id="5"/>
    </w:p>
    <w:p w14:paraId="69FAADF8">
      <w:pPr>
        <w:ind w:firstLine="480"/>
        <w:jc w:val="left"/>
        <w:rPr>
          <w:sz w:val="24"/>
          <w:szCs w:val="21"/>
        </w:rPr>
      </w:pPr>
      <w:r>
        <w:rPr>
          <w:rFonts w:hint="eastAsia"/>
          <w:sz w:val="24"/>
          <w:szCs w:val="21"/>
        </w:rPr>
        <w:t>202</w:t>
      </w:r>
      <w:r>
        <w:rPr>
          <w:sz w:val="24"/>
          <w:szCs w:val="21"/>
        </w:rPr>
        <w:t>4</w:t>
      </w:r>
      <w:r>
        <w:rPr>
          <w:rFonts w:hint="eastAsia"/>
          <w:sz w:val="24"/>
          <w:szCs w:val="21"/>
        </w:rPr>
        <w:t>年</w:t>
      </w:r>
      <w:r>
        <w:rPr>
          <w:sz w:val="24"/>
          <w:szCs w:val="21"/>
        </w:rPr>
        <w:t>1月8日</w:t>
      </w:r>
      <w:r>
        <w:rPr>
          <w:rFonts w:hint="eastAsia"/>
          <w:sz w:val="24"/>
          <w:szCs w:val="21"/>
        </w:rPr>
        <w:t>通标联办发〔202</w:t>
      </w:r>
      <w:r>
        <w:rPr>
          <w:sz w:val="24"/>
          <w:szCs w:val="21"/>
        </w:rPr>
        <w:t>4</w:t>
      </w:r>
      <w:r>
        <w:rPr>
          <w:rFonts w:hint="eastAsia"/>
          <w:sz w:val="24"/>
          <w:szCs w:val="21"/>
        </w:rPr>
        <w:t>〕</w:t>
      </w:r>
      <w:r>
        <w:rPr>
          <w:sz w:val="24"/>
          <w:szCs w:val="21"/>
        </w:rPr>
        <w:t>1</w:t>
      </w:r>
      <w:r>
        <w:rPr>
          <w:rFonts w:hint="eastAsia"/>
          <w:sz w:val="24"/>
          <w:szCs w:val="21"/>
        </w:rPr>
        <w:t>号文件《关于组织申报202</w:t>
      </w:r>
      <w:r>
        <w:rPr>
          <w:sz w:val="24"/>
          <w:szCs w:val="21"/>
        </w:rPr>
        <w:t>4</w:t>
      </w:r>
      <w:r>
        <w:rPr>
          <w:rFonts w:hint="eastAsia"/>
          <w:sz w:val="24"/>
          <w:szCs w:val="21"/>
        </w:rPr>
        <w:t>年度南通市地方标准项目的通知》，文件指出为贯彻落实国家、省和市委、市政府对标准化工作的系列部署和要求，满足经济社会发展需求，全力构建南通标准体系，支撑高质量发展，根据《江苏省标准监督管理办法</w:t>
      </w:r>
      <w:r>
        <w:rPr>
          <w:rFonts w:hint="eastAsia"/>
          <w:sz w:val="24"/>
          <w:szCs w:val="21"/>
          <w:lang w:eastAsia="zh-CN"/>
        </w:rPr>
        <w:t>》《</w:t>
      </w:r>
      <w:r>
        <w:rPr>
          <w:rFonts w:hint="eastAsia"/>
          <w:sz w:val="24"/>
          <w:szCs w:val="21"/>
        </w:rPr>
        <w:t>江苏省地方标准管理规定》和《省质监局关于南京无锡常州南通市地方标准制定工作的批复》（苏质监复〔2018〕6号），现在全市范围内公开征集202</w:t>
      </w:r>
      <w:r>
        <w:rPr>
          <w:sz w:val="24"/>
          <w:szCs w:val="21"/>
        </w:rPr>
        <w:t>4</w:t>
      </w:r>
      <w:r>
        <w:rPr>
          <w:rFonts w:hint="eastAsia"/>
          <w:sz w:val="24"/>
          <w:szCs w:val="21"/>
        </w:rPr>
        <w:t>年度南通市地方标准项目建议。</w:t>
      </w:r>
      <w:r>
        <w:rPr>
          <w:rFonts w:hint="eastAsia"/>
          <w:sz w:val="24"/>
          <w:szCs w:val="21"/>
          <w:lang w:eastAsia="zh-CN"/>
        </w:rPr>
        <w:t>随后</w:t>
      </w:r>
      <w:r>
        <w:rPr>
          <w:rFonts w:hint="eastAsia"/>
          <w:sz w:val="24"/>
          <w:szCs w:val="21"/>
        </w:rPr>
        <w:t>由南通市知识产权保护中心推荐，经南通市市场监督管理局技术初审、立项审查、专家论证，并以通市监函〔202</w:t>
      </w:r>
      <w:r>
        <w:rPr>
          <w:sz w:val="24"/>
          <w:szCs w:val="21"/>
        </w:rPr>
        <w:t>4</w:t>
      </w:r>
      <w:r>
        <w:rPr>
          <w:rFonts w:hint="eastAsia"/>
          <w:sz w:val="24"/>
          <w:szCs w:val="21"/>
        </w:rPr>
        <w:t>〕</w:t>
      </w:r>
      <w:r>
        <w:rPr>
          <w:sz w:val="24"/>
          <w:szCs w:val="21"/>
        </w:rPr>
        <w:t>38</w:t>
      </w:r>
      <w:r>
        <w:rPr>
          <w:rFonts w:hint="eastAsia"/>
          <w:sz w:val="24"/>
          <w:szCs w:val="21"/>
        </w:rPr>
        <w:t>号《南通市市场监督管理局关于下达202</w:t>
      </w:r>
      <w:r>
        <w:rPr>
          <w:sz w:val="24"/>
          <w:szCs w:val="21"/>
        </w:rPr>
        <w:t>4</w:t>
      </w:r>
      <w:r>
        <w:rPr>
          <w:rFonts w:hint="eastAsia"/>
          <w:sz w:val="24"/>
          <w:szCs w:val="21"/>
        </w:rPr>
        <w:t>年度第二批南通市地方标准项目计划的通知》正式批准立项：NT202</w:t>
      </w:r>
      <w:r>
        <w:rPr>
          <w:sz w:val="24"/>
          <w:szCs w:val="21"/>
        </w:rPr>
        <w:t>4</w:t>
      </w:r>
      <w:r>
        <w:rPr>
          <w:rFonts w:hint="eastAsia"/>
          <w:sz w:val="24"/>
          <w:szCs w:val="21"/>
        </w:rPr>
        <w:t>—</w:t>
      </w:r>
      <w:r>
        <w:rPr>
          <w:sz w:val="24"/>
          <w:szCs w:val="21"/>
        </w:rPr>
        <w:t>34</w:t>
      </w:r>
      <w:r>
        <w:rPr>
          <w:rFonts w:hint="eastAsia"/>
          <w:sz w:val="24"/>
          <w:szCs w:val="21"/>
        </w:rPr>
        <w:t>《存量发明专利分类分级指南》。</w:t>
      </w:r>
    </w:p>
    <w:p w14:paraId="3B1AC8E0">
      <w:pPr>
        <w:pStyle w:val="3"/>
        <w:spacing w:before="0" w:after="0" w:line="360" w:lineRule="auto"/>
        <w:ind w:firstLine="0" w:firstLineChars="0"/>
        <w:rPr>
          <w:rFonts w:ascii="黑体" w:hAnsi="黑体" w:eastAsia="黑体"/>
          <w:b w:val="0"/>
          <w:sz w:val="28"/>
          <w:szCs w:val="28"/>
          <w:lang w:val="zh-CN"/>
        </w:rPr>
      </w:pPr>
      <w:bookmarkStart w:id="6" w:name="_Toc167459456"/>
      <w:r>
        <w:rPr>
          <w:rFonts w:ascii="黑体" w:hAnsi="黑体" w:eastAsia="黑体"/>
          <w:b w:val="0"/>
          <w:sz w:val="28"/>
          <w:szCs w:val="28"/>
          <w:lang w:val="zh-CN"/>
        </w:rPr>
        <w:t>3</w:t>
      </w:r>
      <w:r>
        <w:rPr>
          <w:rFonts w:hint="eastAsia" w:ascii="黑体" w:hAnsi="黑体" w:eastAsia="黑体"/>
          <w:b w:val="0"/>
          <w:sz w:val="28"/>
          <w:szCs w:val="28"/>
          <w:lang w:val="zh-CN"/>
        </w:rPr>
        <w:t>．编制</w:t>
      </w:r>
      <w:r>
        <w:rPr>
          <w:rFonts w:ascii="黑体" w:hAnsi="黑体" w:eastAsia="黑体"/>
          <w:b w:val="0"/>
          <w:sz w:val="28"/>
          <w:szCs w:val="28"/>
          <w:lang w:val="zh-CN"/>
        </w:rPr>
        <w:t>过程</w:t>
      </w:r>
      <w:bookmarkEnd w:id="6"/>
    </w:p>
    <w:p w14:paraId="42B19191">
      <w:pPr>
        <w:ind w:firstLine="480"/>
        <w:jc w:val="left"/>
        <w:rPr>
          <w:sz w:val="24"/>
          <w:szCs w:val="21"/>
        </w:rPr>
      </w:pPr>
      <w:r>
        <w:rPr>
          <w:rFonts w:hint="eastAsia"/>
          <w:sz w:val="24"/>
          <w:szCs w:val="21"/>
        </w:rPr>
        <w:t>（1）项目参与单位</w:t>
      </w:r>
    </w:p>
    <w:p w14:paraId="0FACF685">
      <w:pPr>
        <w:ind w:firstLine="480"/>
        <w:jc w:val="left"/>
        <w:rPr>
          <w:sz w:val="24"/>
          <w:szCs w:val="21"/>
        </w:rPr>
      </w:pPr>
      <w:r>
        <w:rPr>
          <w:rFonts w:hint="eastAsia"/>
          <w:sz w:val="24"/>
          <w:szCs w:val="21"/>
        </w:rPr>
        <w:t>该标准由南通市知识产权保护中心起草。</w:t>
      </w:r>
    </w:p>
    <w:p w14:paraId="11DE6EEC">
      <w:pPr>
        <w:ind w:firstLine="480"/>
        <w:jc w:val="left"/>
        <w:rPr>
          <w:sz w:val="24"/>
          <w:szCs w:val="21"/>
        </w:rPr>
      </w:pPr>
      <w:r>
        <w:rPr>
          <w:rFonts w:hint="eastAsia"/>
          <w:sz w:val="24"/>
          <w:szCs w:val="21"/>
        </w:rPr>
        <w:t>（2）主要工作过程</w:t>
      </w:r>
    </w:p>
    <w:p w14:paraId="56A88962">
      <w:pPr>
        <w:ind w:firstLine="480"/>
        <w:jc w:val="left"/>
        <w:rPr>
          <w:sz w:val="24"/>
          <w:szCs w:val="20"/>
        </w:rPr>
      </w:pPr>
      <w:r>
        <w:rPr>
          <w:rFonts w:hint="eastAsia"/>
          <w:sz w:val="24"/>
          <w:szCs w:val="20"/>
        </w:rPr>
        <w:t>第一阶段（202</w:t>
      </w:r>
      <w:r>
        <w:rPr>
          <w:sz w:val="24"/>
          <w:szCs w:val="20"/>
        </w:rPr>
        <w:t>4</w:t>
      </w:r>
      <w:r>
        <w:rPr>
          <w:rFonts w:hint="eastAsia"/>
          <w:sz w:val="24"/>
          <w:szCs w:val="20"/>
        </w:rPr>
        <w:t>年5月至</w:t>
      </w:r>
      <w:r>
        <w:rPr>
          <w:sz w:val="24"/>
          <w:szCs w:val="20"/>
        </w:rPr>
        <w:t>6</w:t>
      </w:r>
      <w:r>
        <w:rPr>
          <w:rFonts w:hint="eastAsia"/>
          <w:sz w:val="24"/>
          <w:szCs w:val="20"/>
        </w:rPr>
        <w:t>月）主要任务是《</w:t>
      </w:r>
      <w:r>
        <w:rPr>
          <w:rFonts w:hint="eastAsia"/>
          <w:sz w:val="24"/>
          <w:szCs w:val="21"/>
        </w:rPr>
        <w:t>存量发明专利分类分级指南</w:t>
      </w:r>
      <w:r>
        <w:rPr>
          <w:rFonts w:hint="eastAsia"/>
          <w:sz w:val="24"/>
          <w:szCs w:val="20"/>
        </w:rPr>
        <w:t>》起草，形成征求意见稿（草案）；第二阶段（202</w:t>
      </w:r>
      <w:r>
        <w:rPr>
          <w:sz w:val="24"/>
          <w:szCs w:val="20"/>
        </w:rPr>
        <w:t>4</w:t>
      </w:r>
      <w:r>
        <w:rPr>
          <w:rFonts w:hint="eastAsia"/>
          <w:sz w:val="24"/>
          <w:szCs w:val="20"/>
        </w:rPr>
        <w:t>年</w:t>
      </w:r>
      <w:r>
        <w:rPr>
          <w:sz w:val="24"/>
          <w:szCs w:val="20"/>
        </w:rPr>
        <w:t>7</w:t>
      </w:r>
      <w:r>
        <w:rPr>
          <w:rFonts w:hint="eastAsia"/>
          <w:sz w:val="24"/>
          <w:szCs w:val="20"/>
        </w:rPr>
        <w:t>月至</w:t>
      </w:r>
      <w:r>
        <w:rPr>
          <w:sz w:val="24"/>
          <w:szCs w:val="20"/>
        </w:rPr>
        <w:t>8</w:t>
      </w:r>
      <w:r>
        <w:rPr>
          <w:rFonts w:hint="eastAsia"/>
          <w:sz w:val="24"/>
          <w:szCs w:val="20"/>
        </w:rPr>
        <w:t>月）主要任务是形成《</w:t>
      </w:r>
      <w:r>
        <w:rPr>
          <w:rFonts w:hint="eastAsia"/>
          <w:sz w:val="24"/>
          <w:szCs w:val="21"/>
        </w:rPr>
        <w:t>存量发明专利分类分级指南</w:t>
      </w:r>
      <w:r>
        <w:rPr>
          <w:rFonts w:hint="eastAsia"/>
          <w:sz w:val="24"/>
          <w:szCs w:val="20"/>
        </w:rPr>
        <w:t>》征求意见稿和编制说明阶段；第三阶段（202</w:t>
      </w:r>
      <w:r>
        <w:rPr>
          <w:sz w:val="24"/>
          <w:szCs w:val="20"/>
        </w:rPr>
        <w:t>4</w:t>
      </w:r>
      <w:r>
        <w:rPr>
          <w:rFonts w:hint="eastAsia"/>
          <w:sz w:val="24"/>
          <w:szCs w:val="20"/>
        </w:rPr>
        <w:t>年</w:t>
      </w:r>
      <w:r>
        <w:rPr>
          <w:sz w:val="24"/>
          <w:szCs w:val="20"/>
        </w:rPr>
        <w:t>8</w:t>
      </w:r>
      <w:r>
        <w:rPr>
          <w:rFonts w:hint="eastAsia"/>
          <w:sz w:val="24"/>
          <w:szCs w:val="20"/>
        </w:rPr>
        <w:t>月）主要任务是形成《</w:t>
      </w:r>
      <w:r>
        <w:rPr>
          <w:rFonts w:hint="eastAsia"/>
          <w:sz w:val="24"/>
          <w:szCs w:val="21"/>
        </w:rPr>
        <w:t>存量发明专利分类分级指南</w:t>
      </w:r>
      <w:r>
        <w:rPr>
          <w:rFonts w:hint="eastAsia"/>
          <w:sz w:val="24"/>
          <w:szCs w:val="20"/>
        </w:rPr>
        <w:t>》送审稿，面向社会征求意见；第四阶段（202</w:t>
      </w:r>
      <w:r>
        <w:rPr>
          <w:sz w:val="24"/>
          <w:szCs w:val="20"/>
        </w:rPr>
        <w:t>4</w:t>
      </w:r>
      <w:r>
        <w:rPr>
          <w:rFonts w:hint="eastAsia"/>
          <w:sz w:val="24"/>
          <w:szCs w:val="20"/>
        </w:rPr>
        <w:t>年</w:t>
      </w:r>
      <w:r>
        <w:rPr>
          <w:sz w:val="24"/>
          <w:szCs w:val="20"/>
        </w:rPr>
        <w:t>9</w:t>
      </w:r>
      <w:r>
        <w:rPr>
          <w:rFonts w:hint="eastAsia"/>
          <w:sz w:val="24"/>
          <w:szCs w:val="20"/>
        </w:rPr>
        <w:t>月）主要任务是形成《</w:t>
      </w:r>
      <w:r>
        <w:rPr>
          <w:rFonts w:hint="eastAsia"/>
          <w:sz w:val="24"/>
          <w:szCs w:val="21"/>
        </w:rPr>
        <w:t>存量发明专利分类分级指南</w:t>
      </w:r>
      <w:r>
        <w:rPr>
          <w:rFonts w:hint="eastAsia"/>
          <w:sz w:val="24"/>
          <w:szCs w:val="20"/>
        </w:rPr>
        <w:t>》报批稿；第五阶段（202</w:t>
      </w:r>
      <w:r>
        <w:rPr>
          <w:sz w:val="24"/>
          <w:szCs w:val="20"/>
        </w:rPr>
        <w:t>4</w:t>
      </w:r>
      <w:r>
        <w:rPr>
          <w:rFonts w:hint="eastAsia"/>
          <w:sz w:val="24"/>
          <w:szCs w:val="20"/>
        </w:rPr>
        <w:t>年</w:t>
      </w:r>
      <w:r>
        <w:rPr>
          <w:sz w:val="24"/>
          <w:szCs w:val="20"/>
        </w:rPr>
        <w:t>10</w:t>
      </w:r>
      <w:r>
        <w:rPr>
          <w:rFonts w:hint="eastAsia"/>
          <w:sz w:val="24"/>
          <w:szCs w:val="20"/>
        </w:rPr>
        <w:t>月）主要任务是《</w:t>
      </w:r>
      <w:r>
        <w:rPr>
          <w:rFonts w:hint="eastAsia"/>
          <w:sz w:val="24"/>
          <w:szCs w:val="21"/>
        </w:rPr>
        <w:t>存量发明专利分类分级指南</w:t>
      </w:r>
      <w:r>
        <w:rPr>
          <w:rFonts w:hint="eastAsia"/>
          <w:sz w:val="24"/>
          <w:szCs w:val="20"/>
        </w:rPr>
        <w:t>》正式批准发布。</w:t>
      </w:r>
    </w:p>
    <w:p w14:paraId="1ABB8C14">
      <w:pPr>
        <w:ind w:firstLine="480"/>
        <w:jc w:val="left"/>
        <w:rPr>
          <w:sz w:val="24"/>
          <w:szCs w:val="20"/>
        </w:rPr>
      </w:pPr>
      <w:r>
        <w:rPr>
          <w:rFonts w:hint="eastAsia"/>
          <w:sz w:val="24"/>
          <w:szCs w:val="20"/>
        </w:rPr>
        <w:t>目前完成的主要工作：</w:t>
      </w:r>
    </w:p>
    <w:p w14:paraId="791F8048">
      <w:pPr>
        <w:ind w:firstLine="480"/>
        <w:jc w:val="left"/>
        <w:rPr>
          <w:sz w:val="24"/>
          <w:szCs w:val="20"/>
        </w:rPr>
      </w:pPr>
      <w:r>
        <w:rPr>
          <w:rFonts w:hint="eastAsia"/>
          <w:sz w:val="24"/>
          <w:szCs w:val="20"/>
        </w:rPr>
        <w:t>1.组建《</w:t>
      </w:r>
      <w:r>
        <w:rPr>
          <w:rFonts w:hint="eastAsia"/>
          <w:sz w:val="24"/>
          <w:szCs w:val="21"/>
        </w:rPr>
        <w:t>存量发明专利分类分级指南</w:t>
      </w:r>
      <w:r>
        <w:rPr>
          <w:rFonts w:hint="eastAsia"/>
          <w:sz w:val="24"/>
          <w:szCs w:val="20"/>
        </w:rPr>
        <w:t>》起草小组，对标准起草进行分工。</w:t>
      </w:r>
    </w:p>
    <w:p w14:paraId="27E6E5A7">
      <w:pPr>
        <w:ind w:firstLine="480"/>
        <w:jc w:val="left"/>
        <w:rPr>
          <w:sz w:val="24"/>
          <w:szCs w:val="20"/>
        </w:rPr>
      </w:pPr>
      <w:r>
        <w:rPr>
          <w:rFonts w:hint="eastAsia"/>
          <w:sz w:val="24"/>
          <w:szCs w:val="20"/>
        </w:rPr>
        <w:t>2.召开《</w:t>
      </w:r>
      <w:r>
        <w:rPr>
          <w:rFonts w:hint="eastAsia"/>
          <w:sz w:val="24"/>
          <w:szCs w:val="21"/>
        </w:rPr>
        <w:t>存量发明专利分类分级指南</w:t>
      </w:r>
      <w:r>
        <w:rPr>
          <w:rFonts w:hint="eastAsia"/>
          <w:sz w:val="24"/>
          <w:szCs w:val="20"/>
        </w:rPr>
        <w:t>》标准起草小组会议：介绍《</w:t>
      </w:r>
      <w:r>
        <w:rPr>
          <w:rFonts w:hint="eastAsia"/>
          <w:sz w:val="24"/>
          <w:szCs w:val="21"/>
        </w:rPr>
        <w:t>存量发明专利分类分级指南</w:t>
      </w:r>
      <w:r>
        <w:rPr>
          <w:rFonts w:hint="eastAsia"/>
          <w:sz w:val="24"/>
          <w:szCs w:val="20"/>
        </w:rPr>
        <w:t>》地方标准相关立项、批准事宜；学习《南通市地方标准修订程序指引》；讨论《</w:t>
      </w:r>
      <w:r>
        <w:rPr>
          <w:rFonts w:hint="eastAsia"/>
          <w:sz w:val="24"/>
          <w:szCs w:val="21"/>
        </w:rPr>
        <w:t>存量发明专利分类分级指南</w:t>
      </w:r>
      <w:r>
        <w:rPr>
          <w:rFonts w:hint="eastAsia"/>
          <w:sz w:val="24"/>
          <w:szCs w:val="20"/>
        </w:rPr>
        <w:t>》南通市地方标准起草计划；研讨《</w:t>
      </w:r>
      <w:r>
        <w:rPr>
          <w:rFonts w:hint="eastAsia"/>
          <w:sz w:val="24"/>
          <w:szCs w:val="21"/>
        </w:rPr>
        <w:t>存量发明专利分类分级指南</w:t>
      </w:r>
      <w:r>
        <w:rPr>
          <w:rFonts w:hint="eastAsia"/>
          <w:sz w:val="24"/>
          <w:szCs w:val="20"/>
        </w:rPr>
        <w:t>》（草案）基本框架设想。</w:t>
      </w:r>
    </w:p>
    <w:p w14:paraId="03B91414">
      <w:pPr>
        <w:ind w:firstLine="480"/>
        <w:jc w:val="left"/>
        <w:rPr>
          <w:sz w:val="24"/>
          <w:szCs w:val="20"/>
        </w:rPr>
      </w:pPr>
      <w:r>
        <w:rPr>
          <w:rFonts w:hint="eastAsia"/>
          <w:sz w:val="24"/>
          <w:szCs w:val="20"/>
        </w:rPr>
        <w:t>3.全面调查了南通地区发明专利现状，厘清目前知识产权管理的缺陷和短板。充分听取和征求本地企业的意见建议，采取座谈、研讨、资料查阅等方式，吸纳对发明专利分类分级管理的意见和建议。</w:t>
      </w:r>
    </w:p>
    <w:p w14:paraId="2A1EFD34">
      <w:pPr>
        <w:ind w:firstLine="480"/>
        <w:rPr>
          <w:sz w:val="24"/>
          <w:szCs w:val="20"/>
          <w:highlight w:val="green"/>
        </w:rPr>
      </w:pPr>
      <w:r>
        <w:rPr>
          <w:sz w:val="24"/>
          <w:szCs w:val="20"/>
        </w:rPr>
        <w:t>4.</w:t>
      </w:r>
      <w:r>
        <w:rPr>
          <w:rFonts w:hint="eastAsia"/>
          <w:sz w:val="24"/>
          <w:szCs w:val="20"/>
        </w:rPr>
        <w:t>起草小组成员认真学习了</w:t>
      </w:r>
      <w:r>
        <w:rPr>
          <w:rFonts w:hint="eastAsia"/>
          <w:sz w:val="24"/>
          <w:szCs w:val="20"/>
        </w:rPr>
        <w:tab/>
      </w:r>
      <w:r>
        <w:rPr>
          <w:rFonts w:hint="eastAsia" w:ascii="宋体" w:hAnsi="宋体" w:cs="宋体"/>
          <w:sz w:val="24"/>
        </w:rPr>
        <w:t>《知识产权强国建设纲要（2021—2035年）</w:t>
      </w:r>
      <w:r>
        <w:rPr>
          <w:rFonts w:hint="eastAsia" w:ascii="宋体" w:hAnsi="宋体" w:cs="宋体"/>
          <w:sz w:val="24"/>
          <w:lang w:eastAsia="zh-CN"/>
        </w:rPr>
        <w:t>》《</w:t>
      </w:r>
      <w:r>
        <w:rPr>
          <w:rFonts w:hint="eastAsia" w:ascii="宋体" w:hAnsi="宋体" w:cs="宋体"/>
          <w:sz w:val="24"/>
        </w:rPr>
        <w:t>“十四五”国家知识产权保护和运用规划》（国发〔2021〕20号）、</w:t>
      </w:r>
      <w:r>
        <w:rPr>
          <w:rFonts w:hint="eastAsia" w:ascii="宋体" w:hAnsi="宋体"/>
          <w:sz w:val="24"/>
        </w:rPr>
        <w:t>《</w:t>
      </w:r>
      <w:r>
        <w:rPr>
          <w:rFonts w:hint="eastAsia" w:ascii="宋体" w:hAnsi="宋体" w:cs="宋体"/>
          <w:sz w:val="24"/>
        </w:rPr>
        <w:t>专利转化运用专项行动方案（2023—2025年）</w:t>
      </w:r>
      <w:r>
        <w:rPr>
          <w:rFonts w:hint="eastAsia" w:ascii="宋体" w:hAnsi="宋体"/>
          <w:sz w:val="24"/>
        </w:rPr>
        <w:t>》（</w:t>
      </w:r>
      <w:r>
        <w:rPr>
          <w:rFonts w:hint="eastAsia" w:ascii="宋体" w:hAnsi="宋体" w:cs="宋体"/>
          <w:sz w:val="24"/>
        </w:rPr>
        <w:t>国办发〔2023〕37号</w:t>
      </w:r>
      <w:r>
        <w:rPr>
          <w:rFonts w:hint="eastAsia" w:ascii="宋体" w:hAnsi="宋体"/>
          <w:sz w:val="24"/>
        </w:rPr>
        <w:t>）、《高校和科研机构存量专利盘活工作方案》（国知发运字〔2024〕5号）、GB/T</w:t>
      </w:r>
      <w:r>
        <w:rPr>
          <w:rFonts w:ascii="宋体" w:hAnsi="宋体"/>
          <w:sz w:val="24"/>
        </w:rPr>
        <w:t>39551</w:t>
      </w:r>
      <w:r>
        <w:rPr>
          <w:rFonts w:hint="eastAsia" w:ascii="宋体" w:hAnsi="宋体"/>
          <w:sz w:val="24"/>
        </w:rPr>
        <w:t>《专利导航指南》</w:t>
      </w:r>
      <w:r>
        <w:rPr>
          <w:rFonts w:hint="eastAsia"/>
          <w:sz w:val="24"/>
          <w:szCs w:val="20"/>
        </w:rPr>
        <w:t>等标准与文件，明确《</w:t>
      </w:r>
      <w:r>
        <w:rPr>
          <w:rFonts w:hint="eastAsia"/>
          <w:sz w:val="24"/>
          <w:szCs w:val="21"/>
        </w:rPr>
        <w:t>存量发明专利分类分级指南</w:t>
      </w:r>
      <w:r>
        <w:rPr>
          <w:rFonts w:hint="eastAsia"/>
          <w:sz w:val="24"/>
          <w:szCs w:val="20"/>
        </w:rPr>
        <w:t>》定位、突出管理创新的思路。</w:t>
      </w:r>
    </w:p>
    <w:p w14:paraId="6D446E2E">
      <w:pPr>
        <w:ind w:firstLine="480"/>
        <w:rPr>
          <w:sz w:val="24"/>
          <w:szCs w:val="20"/>
        </w:rPr>
      </w:pPr>
      <w:r>
        <w:rPr>
          <w:sz w:val="24"/>
          <w:szCs w:val="20"/>
        </w:rPr>
        <w:t>5</w:t>
      </w:r>
      <w:r>
        <w:rPr>
          <w:rFonts w:hint="eastAsia"/>
          <w:sz w:val="24"/>
          <w:szCs w:val="20"/>
        </w:rPr>
        <w:t>.确定了《</w:t>
      </w:r>
      <w:r>
        <w:rPr>
          <w:rFonts w:hint="eastAsia"/>
          <w:sz w:val="24"/>
          <w:szCs w:val="21"/>
        </w:rPr>
        <w:t>存量发明专利分类分级指南</w:t>
      </w:r>
      <w:r>
        <w:rPr>
          <w:rFonts w:hint="eastAsia"/>
          <w:sz w:val="24"/>
          <w:szCs w:val="20"/>
        </w:rPr>
        <w:t>》基本框架，</w:t>
      </w:r>
      <w:r>
        <w:rPr>
          <w:rFonts w:hint="eastAsia" w:ascii="宋体" w:hAnsi="宋体" w:cs="宋体"/>
          <w:sz w:val="24"/>
        </w:rPr>
        <w:t>结构上包括范围、规范性引用文件、术语和定义、存量发明专利分类分级前提条件、存量发明专利分类分级方法概述、存量发明专利分类、存量发明专利分级、反馈和改进等共八部分。主要内容包括存量发明专利分类分级的组织保证条件、流程方法、具体规则；专利分类的原则、数据细分和归类的方法；专利分级的原则和方法；分类分级的综合运用及反馈和改进。</w:t>
      </w:r>
    </w:p>
    <w:p w14:paraId="60C86EBF">
      <w:pPr>
        <w:ind w:firstLine="480"/>
        <w:jc w:val="left"/>
        <w:rPr>
          <w:sz w:val="24"/>
          <w:szCs w:val="20"/>
        </w:rPr>
      </w:pPr>
      <w:r>
        <w:rPr>
          <w:sz w:val="24"/>
          <w:szCs w:val="20"/>
        </w:rPr>
        <w:t>6</w:t>
      </w:r>
      <w:r>
        <w:rPr>
          <w:rFonts w:hint="eastAsia"/>
          <w:sz w:val="24"/>
          <w:szCs w:val="20"/>
        </w:rPr>
        <w:t>.采用研讨、起草、再研讨多轮反复的起草方式</w:t>
      </w:r>
    </w:p>
    <w:p w14:paraId="1481DF97">
      <w:pPr>
        <w:ind w:firstLine="480"/>
        <w:jc w:val="left"/>
        <w:rPr>
          <w:sz w:val="24"/>
          <w:szCs w:val="20"/>
        </w:rPr>
      </w:pPr>
      <w:r>
        <w:rPr>
          <w:rFonts w:hint="eastAsia"/>
          <w:sz w:val="24"/>
          <w:szCs w:val="20"/>
        </w:rPr>
        <w:t>一是起草小组成员召开专题会议，全面理解和深刻领会《</w:t>
      </w:r>
      <w:r>
        <w:rPr>
          <w:rFonts w:hint="eastAsia"/>
          <w:sz w:val="24"/>
          <w:szCs w:val="21"/>
        </w:rPr>
        <w:t>存量发明专利分类分级指南</w:t>
      </w:r>
      <w:r>
        <w:rPr>
          <w:rFonts w:hint="eastAsia"/>
          <w:sz w:val="24"/>
          <w:szCs w:val="20"/>
        </w:rPr>
        <w:t>》的编制的基本思路和目的，统一思想认识，形成高度共识。</w:t>
      </w:r>
    </w:p>
    <w:p w14:paraId="599ECA8D">
      <w:pPr>
        <w:ind w:firstLine="480"/>
        <w:jc w:val="left"/>
        <w:rPr>
          <w:sz w:val="24"/>
          <w:szCs w:val="20"/>
        </w:rPr>
      </w:pPr>
      <w:r>
        <w:rPr>
          <w:rFonts w:hint="eastAsia"/>
          <w:sz w:val="24"/>
          <w:szCs w:val="20"/>
        </w:rPr>
        <w:t>二是起草小组成员召开研讨会，对各章节的布局、层次及表述进行充分讨论并起草。</w:t>
      </w:r>
    </w:p>
    <w:p w14:paraId="4234FE72">
      <w:pPr>
        <w:ind w:firstLine="480"/>
        <w:jc w:val="left"/>
        <w:rPr>
          <w:rFonts w:hint="eastAsia"/>
          <w:sz w:val="24"/>
          <w:szCs w:val="20"/>
        </w:rPr>
      </w:pPr>
      <w:r>
        <w:rPr>
          <w:rFonts w:hint="eastAsia"/>
          <w:sz w:val="24"/>
          <w:szCs w:val="20"/>
        </w:rPr>
        <w:t>三是在草稿、征求意见稿基础上，主要起草人进行统筹修改完善，通过前后多次反复讨论修改形成《</w:t>
      </w:r>
      <w:r>
        <w:rPr>
          <w:rFonts w:hint="eastAsia"/>
          <w:sz w:val="24"/>
          <w:szCs w:val="21"/>
        </w:rPr>
        <w:t>存量发明专利分类分级指南</w:t>
      </w:r>
      <w:r>
        <w:rPr>
          <w:rFonts w:hint="eastAsia"/>
          <w:sz w:val="24"/>
          <w:szCs w:val="20"/>
        </w:rPr>
        <w:t>》送审稿（草案）。</w:t>
      </w:r>
    </w:p>
    <w:p w14:paraId="3744188A">
      <w:pPr>
        <w:pStyle w:val="3"/>
        <w:spacing w:before="0" w:after="0" w:line="360" w:lineRule="auto"/>
        <w:ind w:firstLine="0" w:firstLineChars="0"/>
        <w:rPr>
          <w:rFonts w:ascii="黑体" w:hAnsi="黑体" w:eastAsia="黑体"/>
          <w:b w:val="0"/>
          <w:sz w:val="28"/>
          <w:szCs w:val="28"/>
          <w:lang w:val="zh-CN"/>
        </w:rPr>
      </w:pPr>
      <w:bookmarkStart w:id="7" w:name="_Toc167459457"/>
      <w:r>
        <w:rPr>
          <w:rFonts w:ascii="黑体" w:hAnsi="黑体" w:eastAsia="黑体"/>
          <w:b w:val="0"/>
          <w:sz w:val="28"/>
          <w:szCs w:val="28"/>
          <w:lang w:val="zh-CN"/>
        </w:rPr>
        <w:t>4</w:t>
      </w:r>
      <w:r>
        <w:rPr>
          <w:rFonts w:hint="eastAsia" w:ascii="黑体" w:hAnsi="黑体" w:eastAsia="黑体"/>
          <w:b w:val="0"/>
          <w:sz w:val="28"/>
          <w:szCs w:val="28"/>
          <w:lang w:val="zh-CN"/>
        </w:rPr>
        <w:t>．主要内容</w:t>
      </w:r>
      <w:r>
        <w:rPr>
          <w:rFonts w:ascii="黑体" w:hAnsi="黑体" w:eastAsia="黑体"/>
          <w:b w:val="0"/>
          <w:sz w:val="28"/>
          <w:szCs w:val="28"/>
          <w:lang w:val="zh-CN"/>
        </w:rPr>
        <w:t>技术指标确立</w:t>
      </w:r>
      <w:bookmarkEnd w:id="7"/>
    </w:p>
    <w:p w14:paraId="0AF9F50F">
      <w:pPr>
        <w:pStyle w:val="4"/>
        <w:spacing w:before="120" w:after="120" w:line="360" w:lineRule="auto"/>
        <w:ind w:firstLine="0" w:firstLineChars="0"/>
        <w:rPr>
          <w:rFonts w:ascii="黑体" w:hAnsi="黑体" w:eastAsia="黑体"/>
          <w:b w:val="0"/>
          <w:sz w:val="24"/>
          <w:szCs w:val="24"/>
          <w:lang w:val="zh-CN"/>
        </w:rPr>
      </w:pPr>
      <w:bookmarkStart w:id="8" w:name="_Toc167459458"/>
      <w:r>
        <w:rPr>
          <w:rFonts w:ascii="黑体" w:hAnsi="黑体" w:eastAsia="黑体"/>
          <w:b w:val="0"/>
          <w:sz w:val="24"/>
          <w:szCs w:val="24"/>
          <w:lang w:val="zh-CN"/>
        </w:rPr>
        <w:t>4.1</w:t>
      </w:r>
      <w:r>
        <w:rPr>
          <w:rFonts w:hint="eastAsia" w:ascii="黑体" w:hAnsi="黑体" w:eastAsia="黑体"/>
          <w:b w:val="0"/>
          <w:sz w:val="24"/>
          <w:szCs w:val="24"/>
          <w:lang w:val="zh-CN"/>
        </w:rPr>
        <w:t>编制</w:t>
      </w:r>
      <w:r>
        <w:rPr>
          <w:rFonts w:ascii="黑体" w:hAnsi="黑体" w:eastAsia="黑体"/>
          <w:b w:val="0"/>
          <w:sz w:val="24"/>
          <w:szCs w:val="24"/>
          <w:lang w:val="zh-CN"/>
        </w:rPr>
        <w:t>原则</w:t>
      </w:r>
      <w:bookmarkEnd w:id="8"/>
    </w:p>
    <w:p w14:paraId="7C1803BB">
      <w:pPr>
        <w:ind w:firstLine="480"/>
        <w:jc w:val="left"/>
        <w:rPr>
          <w:sz w:val="24"/>
        </w:rPr>
      </w:pPr>
      <w:bookmarkStart w:id="9" w:name="_Toc36477690"/>
      <w:r>
        <w:rPr>
          <w:sz w:val="24"/>
        </w:rPr>
        <w:t>按GB/T 1.1-2009《标准化工作导则第1部分：标准的结构和编写规则》编制，标准编制的主要依据如下原则</w:t>
      </w:r>
      <w:bookmarkEnd w:id="9"/>
      <w:r>
        <w:rPr>
          <w:sz w:val="24"/>
        </w:rPr>
        <w:t>：</w:t>
      </w:r>
    </w:p>
    <w:p w14:paraId="2B850F1B">
      <w:pPr>
        <w:ind w:firstLine="480"/>
        <w:rPr>
          <w:sz w:val="24"/>
        </w:rPr>
      </w:pPr>
      <w:r>
        <w:rPr>
          <w:sz w:val="24"/>
        </w:rPr>
        <w:t>（1）科学性。标准编制的目标应清晰，在标准的范围所规定的界限内按需要力求完整，表达清晰明确，能被未参加标准编制的专业技术人员所理解。</w:t>
      </w:r>
    </w:p>
    <w:p w14:paraId="094674AE">
      <w:pPr>
        <w:ind w:firstLine="480"/>
        <w:rPr>
          <w:sz w:val="24"/>
        </w:rPr>
      </w:pPr>
      <w:r>
        <w:rPr>
          <w:sz w:val="24"/>
        </w:rPr>
        <w:t>（2）先进性。充分考虑最新技术水平；为未来技术发展提供框架。</w:t>
      </w:r>
    </w:p>
    <w:p w14:paraId="43ACD2DD">
      <w:pPr>
        <w:ind w:firstLine="480"/>
        <w:rPr>
          <w:sz w:val="24"/>
        </w:rPr>
      </w:pPr>
      <w:r>
        <w:rPr>
          <w:sz w:val="24"/>
        </w:rPr>
        <w:t>（3）统一性。标准的问题和术语应保持一致。对于同一个概念应使用同一个术语，每个选用的术语应尽可能只有唯一的含义。标准的不同部分的结构及章节编号应尽可能相同</w:t>
      </w:r>
      <w:r>
        <w:rPr>
          <w:rFonts w:hint="eastAsia"/>
          <w:sz w:val="24"/>
        </w:rPr>
        <w:t>。</w:t>
      </w:r>
    </w:p>
    <w:p w14:paraId="21C93FBC">
      <w:pPr>
        <w:ind w:firstLine="480"/>
        <w:rPr>
          <w:sz w:val="24"/>
        </w:rPr>
      </w:pPr>
      <w:r>
        <w:rPr>
          <w:sz w:val="24"/>
        </w:rPr>
        <w:t>（4）规范性。标准起草前，应确定标准的预计结构和内在关系，尤其应考虑内容的划分。</w:t>
      </w:r>
    </w:p>
    <w:p w14:paraId="3025E19D">
      <w:pPr>
        <w:ind w:firstLine="480"/>
      </w:pPr>
      <w:r>
        <w:rPr>
          <w:sz w:val="24"/>
        </w:rPr>
        <w:t>（5）适用性。标准的内容应适合于界定范围内的研究对象，并且易于被其他的标准或文件所引用。标准应易于被实施，具有良好的可操作性。</w:t>
      </w:r>
    </w:p>
    <w:p w14:paraId="2F4B4243">
      <w:pPr>
        <w:pStyle w:val="4"/>
        <w:spacing w:before="120" w:after="120" w:line="360" w:lineRule="auto"/>
        <w:ind w:firstLine="0" w:firstLineChars="0"/>
        <w:rPr>
          <w:rFonts w:ascii="黑体" w:hAnsi="黑体" w:eastAsia="黑体"/>
          <w:b w:val="0"/>
          <w:sz w:val="24"/>
          <w:szCs w:val="24"/>
          <w:lang w:val="zh-CN"/>
        </w:rPr>
      </w:pPr>
      <w:bookmarkStart w:id="10" w:name="_Toc167459459"/>
      <w:r>
        <w:rPr>
          <w:rFonts w:ascii="黑体" w:hAnsi="黑体" w:eastAsia="黑体"/>
          <w:b w:val="0"/>
          <w:sz w:val="24"/>
          <w:szCs w:val="24"/>
          <w:lang w:val="zh-CN"/>
        </w:rPr>
        <w:t>4.2</w:t>
      </w:r>
      <w:r>
        <w:rPr>
          <w:rFonts w:hint="eastAsia" w:ascii="黑体" w:hAnsi="黑体" w:eastAsia="黑体"/>
          <w:b w:val="0"/>
          <w:sz w:val="24"/>
          <w:szCs w:val="24"/>
          <w:lang w:val="zh-CN"/>
        </w:rPr>
        <w:t>编制依据</w:t>
      </w:r>
      <w:bookmarkEnd w:id="10"/>
      <w:bookmarkStart w:id="11" w:name="_Toc38476394"/>
      <w:bookmarkStart w:id="12" w:name="_Toc51502562"/>
      <w:bookmarkStart w:id="13" w:name="_Toc51502637"/>
    </w:p>
    <w:p w14:paraId="092EA3AF">
      <w:pPr>
        <w:ind w:firstLine="480"/>
        <w:rPr>
          <w:sz w:val="24"/>
          <w:lang w:val="zh-CN"/>
        </w:rPr>
      </w:pPr>
      <w:r>
        <w:rPr>
          <w:rFonts w:hint="eastAsia"/>
          <w:sz w:val="24"/>
          <w:lang w:val="zh-CN"/>
        </w:rPr>
        <w:t>（1）《标准化工作导则 第1部分：标准化文件的结构和起草规则》（</w:t>
      </w:r>
      <w:r>
        <w:rPr>
          <w:sz w:val="24"/>
          <w:lang w:val="zh-CN"/>
        </w:rPr>
        <w:t xml:space="preserve">GB/T </w:t>
      </w:r>
      <w:r>
        <w:rPr>
          <w:rFonts w:hint="eastAsia"/>
          <w:sz w:val="24"/>
          <w:lang w:val="zh-CN"/>
        </w:rPr>
        <w:t>1.1—</w:t>
      </w:r>
      <w:r>
        <w:rPr>
          <w:sz w:val="24"/>
          <w:lang w:val="zh-CN"/>
        </w:rPr>
        <w:t>20</w:t>
      </w:r>
      <w:r>
        <w:rPr>
          <w:rFonts w:hint="eastAsia"/>
          <w:sz w:val="24"/>
          <w:lang w:val="zh-CN"/>
        </w:rPr>
        <w:t>20）；</w:t>
      </w:r>
    </w:p>
    <w:p w14:paraId="5A74BBCE">
      <w:pPr>
        <w:ind w:firstLine="480"/>
        <w:rPr>
          <w:rFonts w:hint="eastAsia"/>
          <w:sz w:val="24"/>
          <w:lang w:val="zh-CN"/>
        </w:rPr>
      </w:pPr>
      <w:r>
        <w:rPr>
          <w:rFonts w:hint="eastAsia"/>
          <w:sz w:val="24"/>
          <w:lang w:val="zh-CN"/>
        </w:rPr>
        <w:t>（2）《标准编写规则 第7部分：指南标准》（</w:t>
      </w:r>
      <w:r>
        <w:rPr>
          <w:sz w:val="24"/>
          <w:lang w:val="zh-CN"/>
        </w:rPr>
        <w:t>GB/T 20001.7</w:t>
      </w:r>
      <w:r>
        <w:rPr>
          <w:rFonts w:hint="eastAsia"/>
          <w:sz w:val="24"/>
          <w:lang w:val="zh-CN"/>
        </w:rPr>
        <w:t>—</w:t>
      </w:r>
      <w:r>
        <w:rPr>
          <w:sz w:val="24"/>
          <w:lang w:val="zh-CN"/>
        </w:rPr>
        <w:t>2017</w:t>
      </w:r>
      <w:r>
        <w:rPr>
          <w:rFonts w:hint="eastAsia"/>
          <w:sz w:val="24"/>
          <w:lang w:val="zh-CN"/>
        </w:rPr>
        <w:t>）；</w:t>
      </w:r>
    </w:p>
    <w:p w14:paraId="432A1519">
      <w:pPr>
        <w:ind w:firstLine="480"/>
        <w:rPr>
          <w:sz w:val="24"/>
          <w:lang w:val="zh-CN"/>
        </w:rPr>
      </w:pPr>
      <w:r>
        <w:rPr>
          <w:rFonts w:hint="eastAsia"/>
          <w:sz w:val="24"/>
          <w:lang w:val="zh-CN"/>
        </w:rPr>
        <w:t>（3）《知识产权文献与信息 基本词汇》（GB/T 21374—2008）；</w:t>
      </w:r>
    </w:p>
    <w:p w14:paraId="320B2C0A">
      <w:pPr>
        <w:ind w:firstLine="480"/>
        <w:rPr>
          <w:rFonts w:hint="eastAsia"/>
          <w:sz w:val="24"/>
          <w:lang w:val="zh-CN"/>
        </w:rPr>
      </w:pPr>
      <w:r>
        <w:rPr>
          <w:rFonts w:hint="eastAsia"/>
          <w:sz w:val="24"/>
          <w:lang w:val="zh-CN"/>
        </w:rPr>
        <w:t>（4）《专利评估指引》（</w:t>
      </w:r>
      <w:r>
        <w:rPr>
          <w:sz w:val="24"/>
          <w:lang w:val="zh-CN"/>
        </w:rPr>
        <w:t>GB/T 42748</w:t>
      </w:r>
      <w:r>
        <w:rPr>
          <w:rFonts w:hint="eastAsia"/>
          <w:sz w:val="24"/>
          <w:lang w:val="zh-CN"/>
        </w:rPr>
        <w:t>—</w:t>
      </w:r>
      <w:r>
        <w:rPr>
          <w:sz w:val="24"/>
          <w:lang w:val="zh-CN"/>
        </w:rPr>
        <w:t>2023</w:t>
      </w:r>
      <w:r>
        <w:rPr>
          <w:rFonts w:hint="eastAsia"/>
          <w:sz w:val="24"/>
          <w:lang w:val="zh-CN"/>
        </w:rPr>
        <w:t>）；</w:t>
      </w:r>
    </w:p>
    <w:p w14:paraId="74AA4109">
      <w:pPr>
        <w:pStyle w:val="4"/>
        <w:spacing w:before="120" w:after="120" w:line="360" w:lineRule="auto"/>
        <w:ind w:firstLine="0" w:firstLineChars="0"/>
        <w:rPr>
          <w:rFonts w:ascii="黑体" w:hAnsi="黑体" w:eastAsia="黑体"/>
          <w:b w:val="0"/>
          <w:sz w:val="24"/>
          <w:szCs w:val="24"/>
          <w:lang w:val="zh-CN"/>
        </w:rPr>
      </w:pPr>
      <w:bookmarkStart w:id="14" w:name="_Toc167459460"/>
      <w:r>
        <w:rPr>
          <w:rFonts w:ascii="黑体" w:hAnsi="黑体" w:eastAsia="黑体"/>
          <w:b w:val="0"/>
          <w:sz w:val="24"/>
          <w:szCs w:val="24"/>
          <w:lang w:val="zh-CN"/>
        </w:rPr>
        <w:t>4.3技术路线</w:t>
      </w:r>
      <w:bookmarkEnd w:id="11"/>
      <w:bookmarkEnd w:id="12"/>
      <w:bookmarkEnd w:id="13"/>
      <w:bookmarkEnd w:id="14"/>
    </w:p>
    <w:p w14:paraId="337826C7">
      <w:pPr>
        <w:ind w:firstLine="480"/>
        <w:jc w:val="left"/>
        <w:rPr>
          <w:sz w:val="24"/>
          <w:szCs w:val="21"/>
        </w:rPr>
      </w:pPr>
      <w:r>
        <w:rPr>
          <w:sz w:val="24"/>
          <w:szCs w:val="21"/>
        </w:rPr>
        <w:t>标准编制遵循国家有关法律要求，坚持“科学性、先进性、统一性、规范性、适用性”原则，在调研</w:t>
      </w:r>
      <w:r>
        <w:rPr>
          <w:rFonts w:hint="eastAsia"/>
          <w:sz w:val="24"/>
          <w:szCs w:val="21"/>
        </w:rPr>
        <w:t>南通市创新主体存量发明专利分类分级</w:t>
      </w:r>
      <w:r>
        <w:rPr>
          <w:sz w:val="24"/>
          <w:szCs w:val="21"/>
        </w:rPr>
        <w:t>需求的基础上，厘清</w:t>
      </w:r>
      <w:r>
        <w:rPr>
          <w:rFonts w:hint="eastAsia"/>
          <w:sz w:val="24"/>
          <w:szCs w:val="21"/>
        </w:rPr>
        <w:t>存量发明专利分类分级的</w:t>
      </w:r>
      <w:r>
        <w:rPr>
          <w:rFonts w:hint="eastAsia" w:ascii="宋体" w:hAnsi="宋体" w:cs="宋体"/>
          <w:sz w:val="24"/>
        </w:rPr>
        <w:t>组织保证条件、流程方法、具体规则；专利分类的原则、数据细分和归类的方法；专利分级的原则和方法；分类分级的综合运用及反馈和改进</w:t>
      </w:r>
      <w:r>
        <w:rPr>
          <w:rFonts w:hint="eastAsia"/>
          <w:sz w:val="24"/>
          <w:szCs w:val="21"/>
        </w:rPr>
        <w:t>，编写《存量发明专利分类分级指南》</w:t>
      </w:r>
      <w:r>
        <w:rPr>
          <w:sz w:val="24"/>
          <w:szCs w:val="21"/>
        </w:rPr>
        <w:t>。在广泛征询内部外部意见的基础上，报送</w:t>
      </w:r>
      <w:r>
        <w:rPr>
          <w:rFonts w:hint="eastAsia"/>
          <w:sz w:val="24"/>
          <w:szCs w:val="21"/>
        </w:rPr>
        <w:t>主管</w:t>
      </w:r>
      <w:r>
        <w:rPr>
          <w:sz w:val="24"/>
          <w:szCs w:val="21"/>
        </w:rPr>
        <w:t>部门批准。</w:t>
      </w:r>
    </w:p>
    <w:p w14:paraId="5E6D0D52">
      <w:pPr>
        <w:pStyle w:val="4"/>
        <w:spacing w:before="120" w:after="120" w:line="360" w:lineRule="auto"/>
        <w:ind w:firstLine="0" w:firstLineChars="0"/>
        <w:rPr>
          <w:rFonts w:ascii="黑体" w:hAnsi="黑体" w:eastAsia="黑体"/>
          <w:b w:val="0"/>
          <w:sz w:val="24"/>
          <w:szCs w:val="24"/>
          <w:lang w:val="zh-CN"/>
        </w:rPr>
      </w:pPr>
      <w:bookmarkStart w:id="15" w:name="_Toc51502638"/>
      <w:bookmarkStart w:id="16" w:name="_Toc167459461"/>
      <w:bookmarkStart w:id="17" w:name="_Toc51502563"/>
      <w:bookmarkStart w:id="18" w:name="_Toc38476396"/>
      <w:r>
        <w:rPr>
          <w:rFonts w:ascii="黑体" w:hAnsi="黑体" w:eastAsia="黑体"/>
          <w:b w:val="0"/>
          <w:sz w:val="24"/>
          <w:szCs w:val="24"/>
          <w:lang w:val="zh-CN"/>
        </w:rPr>
        <w:t>4.4编制步骤</w:t>
      </w:r>
      <w:bookmarkEnd w:id="15"/>
      <w:bookmarkEnd w:id="16"/>
      <w:bookmarkEnd w:id="17"/>
      <w:bookmarkEnd w:id="18"/>
    </w:p>
    <w:p w14:paraId="3E4F3FA6">
      <w:pPr>
        <w:ind w:firstLine="480"/>
        <w:rPr>
          <w:rFonts w:ascii="宋体" w:hAnsi="宋体"/>
          <w:sz w:val="24"/>
        </w:rPr>
      </w:pPr>
      <w:r>
        <w:rPr>
          <w:rFonts w:ascii="宋体" w:hAnsi="宋体"/>
          <w:sz w:val="24"/>
        </w:rPr>
        <w:t>（1）标准梳理。分析现有国家、行业、地方以及团体已颁布的</w:t>
      </w:r>
      <w:r>
        <w:rPr>
          <w:rFonts w:hint="eastAsia" w:ascii="宋体" w:hAnsi="宋体"/>
          <w:sz w:val="24"/>
        </w:rPr>
        <w:t>专利相关</w:t>
      </w:r>
      <w:r>
        <w:rPr>
          <w:rFonts w:ascii="宋体" w:hAnsi="宋体"/>
          <w:sz w:val="24"/>
        </w:rPr>
        <w:t>标准，梳理相关标准的范围并评价其适用性，整理出与本次标准编制的差异和问题。</w:t>
      </w:r>
    </w:p>
    <w:p w14:paraId="06ADA39B">
      <w:pPr>
        <w:ind w:firstLine="480"/>
        <w:rPr>
          <w:rFonts w:ascii="宋体" w:hAnsi="宋体"/>
          <w:sz w:val="24"/>
        </w:rPr>
      </w:pPr>
      <w:r>
        <w:rPr>
          <w:rFonts w:ascii="宋体" w:hAnsi="宋体"/>
          <w:sz w:val="24"/>
        </w:rPr>
        <w:t>（2）数据分析。评价已有</w:t>
      </w:r>
      <w:r>
        <w:rPr>
          <w:rFonts w:hint="eastAsia" w:ascii="宋体" w:hAnsi="宋体"/>
          <w:sz w:val="24"/>
        </w:rPr>
        <w:t>存量专利及其转化运用情况</w:t>
      </w:r>
      <w:r>
        <w:rPr>
          <w:rFonts w:ascii="宋体" w:hAnsi="宋体"/>
          <w:sz w:val="24"/>
        </w:rPr>
        <w:t>，分析其</w:t>
      </w:r>
      <w:r>
        <w:rPr>
          <w:rFonts w:hint="eastAsia" w:ascii="宋体" w:hAnsi="宋体"/>
          <w:sz w:val="24"/>
        </w:rPr>
        <w:t>所属类别、可划分级别</w:t>
      </w:r>
      <w:r>
        <w:rPr>
          <w:rFonts w:ascii="宋体" w:hAnsi="宋体"/>
          <w:sz w:val="24"/>
        </w:rPr>
        <w:t>情况。</w:t>
      </w:r>
    </w:p>
    <w:p w14:paraId="7B568642">
      <w:pPr>
        <w:ind w:firstLine="480"/>
        <w:rPr>
          <w:rFonts w:ascii="宋体" w:hAnsi="宋体"/>
          <w:sz w:val="24"/>
        </w:rPr>
      </w:pPr>
      <w:r>
        <w:rPr>
          <w:rFonts w:ascii="宋体" w:hAnsi="宋体"/>
          <w:sz w:val="24"/>
        </w:rPr>
        <w:t>（3）需求调研。向</w:t>
      </w:r>
      <w:r>
        <w:rPr>
          <w:rFonts w:hint="eastAsia" w:ascii="宋体" w:hAnsi="宋体"/>
          <w:sz w:val="24"/>
        </w:rPr>
        <w:t>企业、高校、科研院所等创新主体</w:t>
      </w:r>
      <w:r>
        <w:rPr>
          <w:rFonts w:ascii="宋体" w:hAnsi="宋体"/>
          <w:sz w:val="24"/>
        </w:rPr>
        <w:t>调研，获取</w:t>
      </w:r>
      <w:r>
        <w:rPr>
          <w:rFonts w:hint="eastAsia" w:ascii="宋体" w:hAnsi="宋体"/>
          <w:sz w:val="24"/>
        </w:rPr>
        <w:t>存量发明专利的分类分级应用需求及现有实施流程</w:t>
      </w:r>
      <w:r>
        <w:rPr>
          <w:rFonts w:ascii="宋体" w:hAnsi="宋体"/>
          <w:sz w:val="24"/>
        </w:rPr>
        <w:t>。</w:t>
      </w:r>
    </w:p>
    <w:p w14:paraId="36FE1559">
      <w:pPr>
        <w:ind w:firstLine="480"/>
        <w:rPr>
          <w:rFonts w:ascii="宋体" w:hAnsi="宋体"/>
          <w:sz w:val="24"/>
        </w:rPr>
      </w:pPr>
      <w:r>
        <w:rPr>
          <w:rFonts w:ascii="宋体" w:hAnsi="宋体"/>
          <w:sz w:val="24"/>
        </w:rPr>
        <w:t>（4）确定框架。确定基础标准、参照标准，兼收各标准的优点和适用程度，确定本标准目录和框架。</w:t>
      </w:r>
    </w:p>
    <w:p w14:paraId="7A934A8C">
      <w:pPr>
        <w:ind w:firstLine="480"/>
        <w:rPr>
          <w:rFonts w:ascii="宋体" w:hAnsi="宋体"/>
          <w:sz w:val="24"/>
        </w:rPr>
      </w:pPr>
      <w:r>
        <w:rPr>
          <w:rFonts w:ascii="宋体" w:hAnsi="宋体"/>
          <w:sz w:val="24"/>
        </w:rPr>
        <w:t>（5）标准成文。依据标准编写的规则和版式，细化结构，分章节编写内容。同步开展验证、统稿审稿工作。</w:t>
      </w:r>
    </w:p>
    <w:p w14:paraId="58FBCA5E">
      <w:pPr>
        <w:ind w:firstLine="480"/>
        <w:rPr>
          <w:rFonts w:ascii="宋体" w:hAnsi="宋体"/>
          <w:sz w:val="24"/>
        </w:rPr>
      </w:pPr>
      <w:r>
        <w:rPr>
          <w:rFonts w:ascii="宋体" w:hAnsi="宋体"/>
          <w:sz w:val="24"/>
        </w:rPr>
        <w:t>（6）征求意见。</w:t>
      </w:r>
      <w:r>
        <w:rPr>
          <w:rFonts w:hint="eastAsia" w:ascii="宋体" w:hAnsi="宋体"/>
          <w:sz w:val="24"/>
        </w:rPr>
        <w:t>面向社会征求意见</w:t>
      </w:r>
      <w:r>
        <w:rPr>
          <w:rFonts w:ascii="宋体" w:hAnsi="宋体"/>
          <w:sz w:val="24"/>
        </w:rPr>
        <w:t>。</w:t>
      </w:r>
    </w:p>
    <w:p w14:paraId="39E63FB3">
      <w:pPr>
        <w:ind w:firstLine="480"/>
        <w:rPr>
          <w:rFonts w:ascii="宋体" w:hAnsi="宋体"/>
          <w:sz w:val="24"/>
        </w:rPr>
      </w:pPr>
      <w:r>
        <w:rPr>
          <w:rFonts w:ascii="宋体" w:hAnsi="宋体"/>
          <w:sz w:val="24"/>
        </w:rPr>
        <w:t>（7）报批定稿。提交终稿、通过审批。</w:t>
      </w:r>
    </w:p>
    <w:p w14:paraId="3E54D919">
      <w:pPr>
        <w:pStyle w:val="3"/>
        <w:spacing w:before="0" w:after="0" w:line="360" w:lineRule="auto"/>
        <w:ind w:firstLine="0" w:firstLineChars="0"/>
        <w:rPr>
          <w:rFonts w:ascii="黑体" w:hAnsi="黑体" w:eastAsia="黑体"/>
          <w:b w:val="0"/>
          <w:sz w:val="28"/>
          <w:szCs w:val="28"/>
          <w:lang w:val="zh-CN"/>
        </w:rPr>
      </w:pPr>
      <w:bookmarkStart w:id="19" w:name="_Toc167459463"/>
      <w:r>
        <w:rPr>
          <w:rFonts w:ascii="黑体" w:hAnsi="黑体" w:eastAsia="黑体"/>
          <w:b w:val="0"/>
          <w:sz w:val="28"/>
          <w:szCs w:val="28"/>
          <w:lang w:val="zh-CN"/>
        </w:rPr>
        <w:t>5</w:t>
      </w:r>
      <w:r>
        <w:rPr>
          <w:rFonts w:hint="eastAsia" w:ascii="黑体" w:hAnsi="黑体" w:eastAsia="黑体"/>
          <w:b w:val="0"/>
          <w:sz w:val="28"/>
          <w:szCs w:val="28"/>
          <w:lang w:val="zh-CN"/>
        </w:rPr>
        <w:t>．与相关法律</w:t>
      </w:r>
      <w:r>
        <w:rPr>
          <w:rFonts w:ascii="黑体" w:hAnsi="黑体" w:eastAsia="黑体"/>
          <w:b w:val="0"/>
          <w:sz w:val="28"/>
          <w:szCs w:val="28"/>
          <w:lang w:val="zh-CN"/>
        </w:rPr>
        <w:t>法规</w:t>
      </w:r>
      <w:r>
        <w:rPr>
          <w:rFonts w:hint="eastAsia" w:ascii="黑体" w:hAnsi="黑体" w:eastAsia="黑体"/>
          <w:b w:val="0"/>
          <w:sz w:val="28"/>
          <w:szCs w:val="28"/>
          <w:lang w:val="zh-CN"/>
        </w:rPr>
        <w:t>和</w:t>
      </w:r>
      <w:r>
        <w:rPr>
          <w:rFonts w:ascii="黑体" w:hAnsi="黑体" w:eastAsia="黑体"/>
          <w:b w:val="0"/>
          <w:sz w:val="28"/>
          <w:szCs w:val="28"/>
          <w:lang w:val="zh-CN"/>
        </w:rPr>
        <w:t>标准的关系</w:t>
      </w:r>
      <w:bookmarkEnd w:id="19"/>
    </w:p>
    <w:p w14:paraId="5707613D">
      <w:pPr>
        <w:ind w:firstLine="480"/>
        <w:rPr>
          <w:rFonts w:ascii="宋体" w:hAnsi="宋体"/>
          <w:sz w:val="24"/>
        </w:rPr>
      </w:pPr>
      <w:r>
        <w:rPr>
          <w:rFonts w:hint="eastAsia"/>
          <w:sz w:val="24"/>
          <w:szCs w:val="21"/>
        </w:rPr>
        <w:t>存量发明专利分类分级</w:t>
      </w:r>
      <w:r>
        <w:rPr>
          <w:rFonts w:hint="eastAsia" w:ascii="宋体" w:hAnsi="宋体"/>
          <w:sz w:val="24"/>
        </w:rPr>
        <w:t>暂无现行有效国家标准、行业标准、本省、市地方标准及立项计划，本标准的制定符合相关法律法规及强制性标准。本标准参考文件主要如下：</w:t>
      </w:r>
    </w:p>
    <w:p w14:paraId="2B5A47FB">
      <w:pPr>
        <w:ind w:firstLine="480"/>
        <w:rPr>
          <w:rFonts w:ascii="宋体" w:hAnsi="宋体" w:cs="宋体"/>
          <w:sz w:val="24"/>
        </w:rPr>
      </w:pPr>
      <w:r>
        <w:rPr>
          <w:rFonts w:hint="eastAsia" w:ascii="宋体" w:hAnsi="宋体"/>
          <w:sz w:val="24"/>
        </w:rPr>
        <w:t>[1]</w:t>
      </w:r>
      <w:r>
        <w:rPr>
          <w:rFonts w:ascii="宋体" w:hAnsi="宋体"/>
          <w:sz w:val="24"/>
        </w:rPr>
        <w:t xml:space="preserve"> </w:t>
      </w:r>
      <w:r>
        <w:rPr>
          <w:rFonts w:hint="eastAsia" w:ascii="宋体" w:hAnsi="宋体" w:cs="宋体"/>
          <w:sz w:val="24"/>
        </w:rPr>
        <w:t>《知识产权强国建设纲要（2021—2035年）》</w:t>
      </w:r>
    </w:p>
    <w:p w14:paraId="506A8BC4">
      <w:pPr>
        <w:ind w:firstLine="480"/>
        <w:rPr>
          <w:rFonts w:ascii="宋体" w:hAnsi="宋体"/>
          <w:sz w:val="24"/>
        </w:rPr>
      </w:pPr>
      <w:r>
        <w:rPr>
          <w:rFonts w:hint="eastAsia" w:ascii="宋体" w:hAnsi="宋体"/>
          <w:sz w:val="24"/>
        </w:rPr>
        <w:t>[</w:t>
      </w:r>
      <w:r>
        <w:rPr>
          <w:rFonts w:ascii="宋体" w:hAnsi="宋体"/>
          <w:sz w:val="24"/>
        </w:rPr>
        <w:t xml:space="preserve">2] </w:t>
      </w:r>
      <w:r>
        <w:rPr>
          <w:rFonts w:hint="eastAsia" w:ascii="宋体" w:hAnsi="宋体" w:cs="宋体"/>
          <w:sz w:val="24"/>
        </w:rPr>
        <w:t>《“十四五”国家知识产权保护和运用规划》（国发〔2021〕20号）</w:t>
      </w:r>
    </w:p>
    <w:p w14:paraId="38690DDF">
      <w:pPr>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 《</w:t>
      </w:r>
      <w:r>
        <w:rPr>
          <w:rFonts w:hint="eastAsia" w:ascii="宋体" w:hAnsi="宋体" w:cs="宋体"/>
          <w:sz w:val="24"/>
        </w:rPr>
        <w:t>专利转化运用专项行动方案（2023—2025年）</w:t>
      </w:r>
      <w:r>
        <w:rPr>
          <w:rFonts w:hint="eastAsia" w:ascii="宋体" w:hAnsi="宋体"/>
          <w:sz w:val="24"/>
        </w:rPr>
        <w:t>》（</w:t>
      </w:r>
      <w:r>
        <w:rPr>
          <w:rFonts w:hint="eastAsia" w:ascii="宋体" w:hAnsi="宋体" w:cs="宋体"/>
          <w:sz w:val="24"/>
        </w:rPr>
        <w:t>国办发〔2023〕37号</w:t>
      </w:r>
      <w:r>
        <w:rPr>
          <w:rFonts w:hint="eastAsia" w:ascii="宋体" w:hAnsi="宋体"/>
          <w:sz w:val="24"/>
        </w:rPr>
        <w:t>）</w:t>
      </w:r>
    </w:p>
    <w:p w14:paraId="755E567B">
      <w:pPr>
        <w:ind w:firstLine="480"/>
        <w:rPr>
          <w:rFonts w:hint="eastAsia" w:ascii="宋体" w:hAnsi="宋体"/>
          <w:sz w:val="24"/>
        </w:rPr>
      </w:pPr>
      <w:r>
        <w:rPr>
          <w:rFonts w:hint="eastAsia" w:ascii="宋体" w:hAnsi="宋体"/>
          <w:sz w:val="24"/>
        </w:rPr>
        <w:t>[</w:t>
      </w:r>
      <w:r>
        <w:rPr>
          <w:rFonts w:ascii="宋体" w:hAnsi="宋体"/>
          <w:sz w:val="24"/>
        </w:rPr>
        <w:t xml:space="preserve">4] </w:t>
      </w:r>
      <w:r>
        <w:rPr>
          <w:rFonts w:hint="eastAsia" w:ascii="宋体" w:hAnsi="宋体"/>
          <w:sz w:val="24"/>
        </w:rPr>
        <w:t>《高校和科研机构存量专利盘活工作方案》（国知发运字〔2024〕5号）</w:t>
      </w:r>
    </w:p>
    <w:p w14:paraId="005E589E">
      <w:pPr>
        <w:ind w:firstLine="480"/>
        <w:rPr>
          <w:rFonts w:hint="eastAsia" w:ascii="宋体" w:hAnsi="宋体"/>
          <w:sz w:val="24"/>
        </w:rPr>
      </w:pPr>
      <w:r>
        <w:rPr>
          <w:rFonts w:hint="eastAsia" w:ascii="宋体" w:hAnsi="宋体"/>
          <w:sz w:val="24"/>
        </w:rPr>
        <w:t>[5] 《高价值专利价值评估规范》（</w:t>
      </w:r>
      <w:r>
        <w:rPr>
          <w:rFonts w:hint="eastAsia" w:ascii="Times New Roman" w:hAnsi="Times New Roman"/>
          <w:sz w:val="24"/>
          <w:lang w:val="zh-CN"/>
        </w:rPr>
        <w:t>DB32／T 4585—2023</w:t>
      </w:r>
      <w:r>
        <w:rPr>
          <w:rFonts w:hint="eastAsia" w:ascii="宋体" w:hAnsi="宋体"/>
          <w:sz w:val="24"/>
        </w:rPr>
        <w:t>）</w:t>
      </w:r>
    </w:p>
    <w:p w14:paraId="106A166A">
      <w:pPr>
        <w:pStyle w:val="3"/>
        <w:spacing w:before="0" w:after="0" w:line="360" w:lineRule="auto"/>
        <w:ind w:firstLine="0" w:firstLineChars="0"/>
        <w:rPr>
          <w:rFonts w:ascii="黑体" w:hAnsi="黑体" w:eastAsia="黑体"/>
          <w:b w:val="0"/>
          <w:sz w:val="28"/>
          <w:szCs w:val="28"/>
          <w:lang w:val="zh-CN"/>
        </w:rPr>
      </w:pPr>
      <w:bookmarkStart w:id="20" w:name="_Toc167459464"/>
      <w:r>
        <w:rPr>
          <w:rFonts w:hint="eastAsia" w:ascii="黑体" w:hAnsi="黑体" w:eastAsia="黑体"/>
          <w:b w:val="0"/>
          <w:sz w:val="28"/>
          <w:szCs w:val="28"/>
          <w:lang w:val="zh-CN"/>
        </w:rPr>
        <w:t>6．</w:t>
      </w:r>
      <w:r>
        <w:rPr>
          <w:rFonts w:ascii="黑体" w:hAnsi="黑体" w:eastAsia="黑体"/>
          <w:b w:val="0"/>
          <w:sz w:val="28"/>
          <w:szCs w:val="28"/>
          <w:lang w:val="zh-CN"/>
        </w:rPr>
        <w:t>实施推广建议</w:t>
      </w:r>
      <w:bookmarkEnd w:id="20"/>
    </w:p>
    <w:p w14:paraId="353214C1">
      <w:pPr>
        <w:pStyle w:val="4"/>
        <w:spacing w:before="120" w:after="120" w:line="360" w:lineRule="auto"/>
        <w:ind w:firstLine="0" w:firstLineChars="0"/>
        <w:rPr>
          <w:rFonts w:ascii="黑体" w:hAnsi="黑体" w:eastAsia="黑体"/>
          <w:b w:val="0"/>
          <w:sz w:val="24"/>
          <w:szCs w:val="24"/>
          <w:lang w:val="zh-CN"/>
        </w:rPr>
      </w:pPr>
      <w:bookmarkStart w:id="21" w:name="_Toc167459465"/>
      <w:r>
        <w:rPr>
          <w:rFonts w:hint="eastAsia" w:ascii="黑体" w:hAnsi="黑体" w:eastAsia="黑体"/>
          <w:b w:val="0"/>
          <w:sz w:val="24"/>
          <w:szCs w:val="24"/>
          <w:lang w:val="zh-CN"/>
        </w:rPr>
        <w:t>6.1适合地域</w:t>
      </w:r>
      <w:bookmarkEnd w:id="21"/>
    </w:p>
    <w:p w14:paraId="36D05B65">
      <w:pPr>
        <w:ind w:firstLine="480"/>
        <w:rPr>
          <w:sz w:val="24"/>
        </w:rPr>
      </w:pPr>
      <w:r>
        <w:rPr>
          <w:rFonts w:hint="eastAsia"/>
          <w:sz w:val="24"/>
        </w:rPr>
        <w:t>本</w:t>
      </w:r>
      <w:r>
        <w:rPr>
          <w:sz w:val="24"/>
        </w:rPr>
        <w:t>标准</w:t>
      </w:r>
      <w:r>
        <w:rPr>
          <w:rFonts w:hint="eastAsia"/>
          <w:sz w:val="24"/>
        </w:rPr>
        <w:t>适用于</w:t>
      </w:r>
      <w:r>
        <w:rPr>
          <w:sz w:val="24"/>
        </w:rPr>
        <w:t>南通</w:t>
      </w:r>
      <w:r>
        <w:rPr>
          <w:rFonts w:hint="eastAsia"/>
          <w:sz w:val="24"/>
        </w:rPr>
        <w:t>市域</w:t>
      </w:r>
      <w:r>
        <w:rPr>
          <w:sz w:val="24"/>
        </w:rPr>
        <w:t>范围</w:t>
      </w:r>
      <w:r>
        <w:rPr>
          <w:rFonts w:hint="eastAsia"/>
          <w:sz w:val="24"/>
        </w:rPr>
        <w:t>，</w:t>
      </w:r>
      <w:r>
        <w:rPr>
          <w:sz w:val="24"/>
        </w:rPr>
        <w:t>对周边地区具有一定参考价值。</w:t>
      </w:r>
    </w:p>
    <w:p w14:paraId="3E04750A">
      <w:pPr>
        <w:pStyle w:val="4"/>
        <w:spacing w:before="120" w:after="120" w:line="360" w:lineRule="auto"/>
        <w:ind w:firstLine="0" w:firstLineChars="0"/>
        <w:rPr>
          <w:rFonts w:ascii="黑体" w:hAnsi="黑体" w:eastAsia="黑体"/>
          <w:b w:val="0"/>
          <w:sz w:val="24"/>
          <w:szCs w:val="24"/>
          <w:lang w:val="zh-CN"/>
        </w:rPr>
      </w:pPr>
      <w:bookmarkStart w:id="22" w:name="_Toc167459466"/>
      <w:r>
        <w:rPr>
          <w:rFonts w:hint="eastAsia" w:ascii="黑体" w:hAnsi="黑体" w:eastAsia="黑体"/>
          <w:b w:val="0"/>
          <w:sz w:val="24"/>
          <w:szCs w:val="24"/>
          <w:lang w:val="zh-CN"/>
        </w:rPr>
        <w:t>6.</w:t>
      </w:r>
      <w:r>
        <w:rPr>
          <w:rFonts w:ascii="黑体" w:hAnsi="黑体" w:eastAsia="黑体"/>
          <w:b w:val="0"/>
          <w:sz w:val="24"/>
          <w:szCs w:val="24"/>
          <w:lang w:val="zh-CN"/>
        </w:rPr>
        <w:t>2</w:t>
      </w:r>
      <w:r>
        <w:rPr>
          <w:rFonts w:hint="eastAsia" w:ascii="黑体" w:hAnsi="黑体" w:eastAsia="黑体"/>
          <w:b w:val="0"/>
          <w:sz w:val="24"/>
          <w:szCs w:val="24"/>
          <w:lang w:val="zh-CN"/>
        </w:rPr>
        <w:t>适合领域</w:t>
      </w:r>
      <w:bookmarkEnd w:id="22"/>
    </w:p>
    <w:p w14:paraId="3F9B8FB3">
      <w:pPr>
        <w:ind w:firstLine="480"/>
        <w:rPr>
          <w:sz w:val="24"/>
        </w:rPr>
      </w:pPr>
      <w:r>
        <w:rPr>
          <w:rFonts w:hint="eastAsia"/>
          <w:sz w:val="24"/>
        </w:rPr>
        <w:t>适用于南通市企业、高等学校、科研机构等创新主体存量专利的管理。</w:t>
      </w:r>
    </w:p>
    <w:p w14:paraId="3F83B9CE">
      <w:pPr>
        <w:pStyle w:val="4"/>
        <w:spacing w:before="120" w:after="120" w:line="360" w:lineRule="auto"/>
        <w:ind w:firstLine="0" w:firstLineChars="0"/>
        <w:rPr>
          <w:rFonts w:ascii="黑体" w:hAnsi="黑体" w:eastAsia="黑体"/>
          <w:b w:val="0"/>
          <w:sz w:val="24"/>
          <w:szCs w:val="24"/>
          <w:lang w:val="zh-CN"/>
        </w:rPr>
      </w:pPr>
      <w:bookmarkStart w:id="23" w:name="_Toc167459467"/>
      <w:r>
        <w:rPr>
          <w:rFonts w:hint="eastAsia" w:ascii="黑体" w:hAnsi="黑体" w:eastAsia="黑体"/>
          <w:b w:val="0"/>
          <w:sz w:val="24"/>
          <w:szCs w:val="24"/>
          <w:lang w:val="zh-CN"/>
        </w:rPr>
        <w:t>6.</w:t>
      </w:r>
      <w:r>
        <w:rPr>
          <w:rFonts w:ascii="黑体" w:hAnsi="黑体" w:eastAsia="黑体"/>
          <w:b w:val="0"/>
          <w:sz w:val="24"/>
          <w:szCs w:val="24"/>
          <w:lang w:val="zh-CN"/>
        </w:rPr>
        <w:t>3</w:t>
      </w:r>
      <w:r>
        <w:rPr>
          <w:rFonts w:hint="eastAsia" w:ascii="黑体" w:hAnsi="黑体" w:eastAsia="黑体"/>
          <w:b w:val="0"/>
          <w:sz w:val="24"/>
          <w:szCs w:val="24"/>
          <w:lang w:val="zh-CN"/>
        </w:rPr>
        <w:t>推广</w:t>
      </w:r>
      <w:r>
        <w:rPr>
          <w:rFonts w:ascii="黑体" w:hAnsi="黑体" w:eastAsia="黑体"/>
          <w:b w:val="0"/>
          <w:sz w:val="24"/>
          <w:szCs w:val="24"/>
          <w:lang w:val="zh-CN"/>
        </w:rPr>
        <w:t>注意事项</w:t>
      </w:r>
      <w:bookmarkEnd w:id="23"/>
    </w:p>
    <w:p w14:paraId="67D27CE8">
      <w:pPr>
        <w:ind w:firstLine="480"/>
        <w:rPr>
          <w:rFonts w:ascii="黑体" w:hAnsi="黑体" w:eastAsia="黑体"/>
          <w:sz w:val="44"/>
          <w:szCs w:val="44"/>
        </w:rPr>
      </w:pPr>
      <w:r>
        <w:rPr>
          <w:rFonts w:hint="eastAsia"/>
          <w:sz w:val="24"/>
        </w:rPr>
        <w:t>本标准</w:t>
      </w:r>
      <w:r>
        <w:rPr>
          <w:sz w:val="24"/>
        </w:rPr>
        <w:t>为推荐性标准</w:t>
      </w:r>
      <w:r>
        <w:rPr>
          <w:rFonts w:hint="eastAsia"/>
          <w:sz w:val="24"/>
        </w:rPr>
        <w:t>，实际</w:t>
      </w:r>
      <w:r>
        <w:rPr>
          <w:sz w:val="24"/>
        </w:rPr>
        <w:t>采用时</w:t>
      </w:r>
      <w:r>
        <w:rPr>
          <w:rFonts w:hint="eastAsia"/>
          <w:sz w:val="24"/>
        </w:rPr>
        <w:t>可</w:t>
      </w:r>
      <w:r>
        <w:rPr>
          <w:sz w:val="24"/>
        </w:rPr>
        <w:t>根据</w:t>
      </w:r>
      <w:r>
        <w:rPr>
          <w:rFonts w:hint="eastAsia"/>
          <w:sz w:val="24"/>
        </w:rPr>
        <w:t>情况</w:t>
      </w:r>
      <w:r>
        <w:rPr>
          <w:sz w:val="24"/>
        </w:rPr>
        <w:t>进行扩展</w:t>
      </w:r>
      <w:r>
        <w:rPr>
          <w:rFonts w:hint="eastAsia"/>
          <w:sz w:val="24"/>
        </w:rPr>
        <w:t>或</w:t>
      </w:r>
      <w:r>
        <w:rPr>
          <w:sz w:val="24"/>
        </w:rPr>
        <w:t>适当调整</w:t>
      </w:r>
      <w:r>
        <w:rPr>
          <w:rFonts w:hint="eastAsia"/>
          <w:sz w:val="24"/>
        </w:rPr>
        <w:t>。</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61E0">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233464"/>
    </w:sdtPr>
    <w:sdtContent>
      <w:p w14:paraId="7C44A894">
        <w:pPr>
          <w:pStyle w:val="10"/>
          <w:ind w:firstLine="360"/>
          <w:jc w:val="center"/>
        </w:pPr>
        <w:r>
          <w:fldChar w:fldCharType="begin"/>
        </w:r>
        <w:r>
          <w:instrText xml:space="preserve">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A3E2">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 w:name="KSO_WPS_MARK_KEY" w:val="d75b186e-98b9-42f4-b436-423969ee49ac"/>
  </w:docVars>
  <w:rsids>
    <w:rsidRoot w:val="00EE430C"/>
    <w:rsid w:val="000017CB"/>
    <w:rsid w:val="00007B83"/>
    <w:rsid w:val="00012828"/>
    <w:rsid w:val="00034F74"/>
    <w:rsid w:val="00066BD2"/>
    <w:rsid w:val="000A2C25"/>
    <w:rsid w:val="000C1886"/>
    <w:rsid w:val="000D31E8"/>
    <w:rsid w:val="00115AE6"/>
    <w:rsid w:val="00124F99"/>
    <w:rsid w:val="001626C5"/>
    <w:rsid w:val="00192C66"/>
    <w:rsid w:val="00226B80"/>
    <w:rsid w:val="00244706"/>
    <w:rsid w:val="00256DAF"/>
    <w:rsid w:val="002B0923"/>
    <w:rsid w:val="002E2BF3"/>
    <w:rsid w:val="003245DE"/>
    <w:rsid w:val="003A5ACE"/>
    <w:rsid w:val="003F7BB4"/>
    <w:rsid w:val="004167E5"/>
    <w:rsid w:val="0042141D"/>
    <w:rsid w:val="004403F8"/>
    <w:rsid w:val="0049720C"/>
    <w:rsid w:val="004A767B"/>
    <w:rsid w:val="004C0F88"/>
    <w:rsid w:val="0051216D"/>
    <w:rsid w:val="0058509B"/>
    <w:rsid w:val="00591206"/>
    <w:rsid w:val="005A3826"/>
    <w:rsid w:val="005A3FD1"/>
    <w:rsid w:val="005F5C41"/>
    <w:rsid w:val="00606D2C"/>
    <w:rsid w:val="006961C0"/>
    <w:rsid w:val="006D096C"/>
    <w:rsid w:val="006D5242"/>
    <w:rsid w:val="006F40D2"/>
    <w:rsid w:val="00700474"/>
    <w:rsid w:val="0073432F"/>
    <w:rsid w:val="00760BD9"/>
    <w:rsid w:val="00763845"/>
    <w:rsid w:val="00773A8D"/>
    <w:rsid w:val="007E464D"/>
    <w:rsid w:val="007F315A"/>
    <w:rsid w:val="00806954"/>
    <w:rsid w:val="00811680"/>
    <w:rsid w:val="00826609"/>
    <w:rsid w:val="00861368"/>
    <w:rsid w:val="0088377D"/>
    <w:rsid w:val="008900E7"/>
    <w:rsid w:val="008D3026"/>
    <w:rsid w:val="009423EA"/>
    <w:rsid w:val="00943FFC"/>
    <w:rsid w:val="00950FA1"/>
    <w:rsid w:val="00971E9F"/>
    <w:rsid w:val="009C43E5"/>
    <w:rsid w:val="009E62F9"/>
    <w:rsid w:val="009F26FD"/>
    <w:rsid w:val="009F28CA"/>
    <w:rsid w:val="009F386C"/>
    <w:rsid w:val="00A102D0"/>
    <w:rsid w:val="00A63E8C"/>
    <w:rsid w:val="00A97208"/>
    <w:rsid w:val="00AB7DB5"/>
    <w:rsid w:val="00AD00CD"/>
    <w:rsid w:val="00B67851"/>
    <w:rsid w:val="00B755C6"/>
    <w:rsid w:val="00B75A81"/>
    <w:rsid w:val="00B82B01"/>
    <w:rsid w:val="00B82F61"/>
    <w:rsid w:val="00BC759E"/>
    <w:rsid w:val="00BE3C6A"/>
    <w:rsid w:val="00C748C4"/>
    <w:rsid w:val="00CE3603"/>
    <w:rsid w:val="00CF0113"/>
    <w:rsid w:val="00D00967"/>
    <w:rsid w:val="00D05A38"/>
    <w:rsid w:val="00D855C9"/>
    <w:rsid w:val="00DA0CF1"/>
    <w:rsid w:val="00DB24E5"/>
    <w:rsid w:val="00DE37D1"/>
    <w:rsid w:val="00E20F3F"/>
    <w:rsid w:val="00E44BCE"/>
    <w:rsid w:val="00E73CA8"/>
    <w:rsid w:val="00EC001C"/>
    <w:rsid w:val="00EE430C"/>
    <w:rsid w:val="00EF73FD"/>
    <w:rsid w:val="00F1497A"/>
    <w:rsid w:val="00F37E73"/>
    <w:rsid w:val="00F70FBD"/>
    <w:rsid w:val="00F73840"/>
    <w:rsid w:val="00F85C99"/>
    <w:rsid w:val="00F87F31"/>
    <w:rsid w:val="0C3A7D83"/>
    <w:rsid w:val="10BA5AB5"/>
    <w:rsid w:val="13717EF5"/>
    <w:rsid w:val="15082937"/>
    <w:rsid w:val="1C746B04"/>
    <w:rsid w:val="312F620E"/>
    <w:rsid w:val="39822409"/>
    <w:rsid w:val="407630BF"/>
    <w:rsid w:val="4C013661"/>
    <w:rsid w:val="50830AE8"/>
    <w:rsid w:val="63945E69"/>
    <w:rsid w:val="68071BA7"/>
    <w:rsid w:val="69914521"/>
    <w:rsid w:val="70AE52B6"/>
    <w:rsid w:val="7494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ind w:firstLine="0" w:firstLineChars="0"/>
      <w:outlineLvl w:val="0"/>
    </w:pPr>
    <w:rPr>
      <w:rFonts w:asciiTheme="minorHAnsi" w:hAnsiTheme="minorHAnsi" w:eastAsiaTheme="minorEastAsia" w:cstheme="minorBidi"/>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8"/>
    <w:qFormat/>
    <w:uiPriority w:val="0"/>
    <w:pPr>
      <w:spacing w:after="120" w:line="240" w:lineRule="auto"/>
      <w:ind w:firstLine="0" w:firstLineChars="0"/>
    </w:pPr>
  </w:style>
  <w:style w:type="paragraph" w:styleId="7">
    <w:name w:val="toc 3"/>
    <w:basedOn w:val="1"/>
    <w:next w:val="1"/>
    <w:unhideWhenUsed/>
    <w:qFormat/>
    <w:uiPriority w:val="39"/>
    <w:pPr>
      <w:spacing w:line="240" w:lineRule="auto"/>
      <w:ind w:left="210" w:firstLine="0" w:firstLineChars="0"/>
      <w:jc w:val="left"/>
    </w:pPr>
    <w:rPr>
      <w:rFonts w:asciiTheme="minorHAnsi" w:hAnsiTheme="minorHAnsi" w:eastAsiaTheme="minorEastAsia" w:cstheme="minorHAnsi"/>
      <w:sz w:val="20"/>
      <w:szCs w:val="20"/>
    </w:rPr>
  </w:style>
  <w:style w:type="paragraph" w:styleId="8">
    <w:name w:val="Plain Text"/>
    <w:basedOn w:val="1"/>
    <w:link w:val="26"/>
    <w:qFormat/>
    <w:uiPriority w:val="0"/>
    <w:pPr>
      <w:spacing w:line="240" w:lineRule="auto"/>
      <w:ind w:firstLine="0" w:firstLineChars="0"/>
    </w:pPr>
    <w:rPr>
      <w:rFonts w:ascii="宋体" w:hAnsi="Courier New" w:cstheme="minorBidi"/>
      <w:szCs w:val="22"/>
    </w:rPr>
  </w:style>
  <w:style w:type="paragraph" w:styleId="9">
    <w:name w:val="Balloon Text"/>
    <w:basedOn w:val="1"/>
    <w:link w:val="29"/>
    <w:semiHidden/>
    <w:unhideWhenUsed/>
    <w:qFormat/>
    <w:uiPriority w:val="99"/>
    <w:pPr>
      <w:spacing w:line="240" w:lineRule="auto"/>
    </w:pPr>
    <w:rPr>
      <w:sz w:val="18"/>
      <w:szCs w:val="18"/>
    </w:rPr>
  </w:style>
  <w:style w:type="paragraph" w:styleId="10">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pPr>
      <w:tabs>
        <w:tab w:val="right" w:leader="dot" w:pos="8296"/>
      </w:tabs>
      <w:spacing w:line="400" w:lineRule="exact"/>
      <w:ind w:firstLine="0" w:firstLineChars="0"/>
      <w:jc w:val="left"/>
    </w:pPr>
    <w:rPr>
      <w:rFonts w:ascii="宋体" w:hAnsi="宋体"/>
      <w:b/>
      <w:bCs/>
      <w:caps/>
      <w:sz w:val="24"/>
    </w:rPr>
  </w:style>
  <w:style w:type="paragraph" w:styleId="13">
    <w:name w:val="toc 2"/>
    <w:basedOn w:val="1"/>
    <w:next w:val="1"/>
    <w:unhideWhenUsed/>
    <w:qFormat/>
    <w:uiPriority w:val="39"/>
    <w:pPr>
      <w:spacing w:before="240" w:line="240" w:lineRule="auto"/>
      <w:ind w:firstLine="0" w:firstLineChars="0"/>
      <w:jc w:val="left"/>
    </w:pPr>
    <w:rPr>
      <w:rFonts w:asciiTheme="minorHAnsi" w:hAnsiTheme="minorHAnsi" w:eastAsiaTheme="minorEastAsia" w:cstheme="minorHAnsi"/>
      <w:b/>
      <w:bCs/>
      <w:sz w:val="20"/>
      <w:szCs w:val="20"/>
    </w:rPr>
  </w:style>
  <w:style w:type="paragraph" w:styleId="14">
    <w:name w:val="index 1"/>
    <w:basedOn w:val="1"/>
    <w:next w:val="1"/>
    <w:unhideWhenUsed/>
    <w:qFormat/>
    <w:uiPriority w:val="99"/>
    <w:pPr>
      <w:spacing w:line="240" w:lineRule="auto"/>
      <w:ind w:firstLine="0" w:firstLineChars="0"/>
    </w:p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0">
    <w:name w:val="List Paragraph"/>
    <w:basedOn w:val="1"/>
    <w:qFormat/>
    <w:uiPriority w:val="34"/>
    <w:pPr>
      <w:ind w:firstLine="420"/>
    </w:pPr>
  </w:style>
  <w:style w:type="character" w:customStyle="1" w:styleId="21">
    <w:name w:val="标题 2 Char"/>
    <w:basedOn w:val="17"/>
    <w:link w:val="3"/>
    <w:qFormat/>
    <w:uiPriority w:val="0"/>
    <w:rPr>
      <w:rFonts w:asciiTheme="majorHAnsi" w:hAnsiTheme="majorHAnsi" w:eastAsiaTheme="majorEastAsia" w:cstheme="majorBidi"/>
      <w:b/>
      <w:bCs/>
      <w:sz w:val="32"/>
      <w:szCs w:val="32"/>
    </w:rPr>
  </w:style>
  <w:style w:type="character" w:customStyle="1" w:styleId="22">
    <w:name w:val="标题 3 Char"/>
    <w:basedOn w:val="17"/>
    <w:link w:val="4"/>
    <w:qFormat/>
    <w:uiPriority w:val="0"/>
    <w:rPr>
      <w:rFonts w:ascii="Times New Roman" w:hAnsi="Times New Roman" w:eastAsia="宋体" w:cs="Times New Roman"/>
      <w:b/>
      <w:bCs/>
      <w:sz w:val="32"/>
      <w:szCs w:val="32"/>
    </w:rPr>
  </w:style>
  <w:style w:type="character" w:customStyle="1" w:styleId="23">
    <w:name w:val="标题 1 Char"/>
    <w:basedOn w:val="17"/>
    <w:link w:val="2"/>
    <w:qFormat/>
    <w:uiPriority w:val="0"/>
    <w:rPr>
      <w:b/>
      <w:bCs/>
      <w:kern w:val="44"/>
      <w:sz w:val="44"/>
      <w:szCs w:val="44"/>
    </w:rPr>
  </w:style>
  <w:style w:type="character" w:customStyle="1" w:styleId="24">
    <w:name w:val="页眉 Char"/>
    <w:basedOn w:val="17"/>
    <w:link w:val="11"/>
    <w:qFormat/>
    <w:uiPriority w:val="99"/>
    <w:rPr>
      <w:rFonts w:ascii="Times New Roman" w:hAnsi="Times New Roman" w:eastAsia="宋体" w:cs="Times New Roman"/>
      <w:sz w:val="18"/>
      <w:szCs w:val="18"/>
    </w:rPr>
  </w:style>
  <w:style w:type="character" w:customStyle="1" w:styleId="25">
    <w:name w:val="页脚 Char"/>
    <w:basedOn w:val="17"/>
    <w:link w:val="10"/>
    <w:qFormat/>
    <w:uiPriority w:val="99"/>
    <w:rPr>
      <w:rFonts w:ascii="Times New Roman" w:hAnsi="Times New Roman" w:eastAsia="宋体" w:cs="Times New Roman"/>
      <w:sz w:val="18"/>
      <w:szCs w:val="18"/>
    </w:rPr>
  </w:style>
  <w:style w:type="character" w:customStyle="1" w:styleId="26">
    <w:name w:val="纯文本 Char"/>
    <w:link w:val="8"/>
    <w:qFormat/>
    <w:uiPriority w:val="0"/>
    <w:rPr>
      <w:rFonts w:ascii="宋体" w:hAnsi="Courier New" w:eastAsia="宋体"/>
    </w:rPr>
  </w:style>
  <w:style w:type="character" w:customStyle="1" w:styleId="27">
    <w:name w:val="纯文本 字符1"/>
    <w:basedOn w:val="17"/>
    <w:semiHidden/>
    <w:qFormat/>
    <w:uiPriority w:val="99"/>
    <w:rPr>
      <w:rFonts w:hAnsi="Courier New" w:cs="Courier New" w:asciiTheme="minorEastAsia"/>
      <w:szCs w:val="24"/>
    </w:rPr>
  </w:style>
  <w:style w:type="character" w:customStyle="1" w:styleId="28">
    <w:name w:val="正文文本 Char"/>
    <w:basedOn w:val="17"/>
    <w:link w:val="6"/>
    <w:qFormat/>
    <w:uiPriority w:val="0"/>
    <w:rPr>
      <w:rFonts w:ascii="Times New Roman" w:hAnsi="Times New Roman" w:eastAsia="宋体" w:cs="Times New Roman"/>
      <w:szCs w:val="24"/>
    </w:rPr>
  </w:style>
  <w:style w:type="character" w:customStyle="1" w:styleId="29">
    <w:name w:val="批注框文本 Char"/>
    <w:basedOn w:val="17"/>
    <w:link w:val="9"/>
    <w:semiHidden/>
    <w:qFormat/>
    <w:uiPriority w:val="99"/>
    <w:rPr>
      <w:rFonts w:ascii="Times New Roman" w:hAnsi="Times New Roman" w:eastAsia="宋体" w:cs="Times New Roman"/>
      <w:sz w:val="18"/>
      <w:szCs w:val="18"/>
    </w:rPr>
  </w:style>
  <w:style w:type="character" w:customStyle="1" w:styleId="30">
    <w:name w:val="标题 4 Char"/>
    <w:basedOn w:val="17"/>
    <w:link w:val="5"/>
    <w:qFormat/>
    <w:uiPriority w:val="9"/>
    <w:rPr>
      <w:rFonts w:asciiTheme="majorHAnsi" w:hAnsiTheme="majorHAnsi" w:eastAsiaTheme="majorEastAsia" w:cstheme="majorBidi"/>
      <w:b/>
      <w:bCs/>
      <w:sz w:val="28"/>
      <w:szCs w:val="28"/>
    </w:rPr>
  </w:style>
  <w:style w:type="paragraph" w:customStyle="1" w:styleId="31">
    <w:name w:val="列出段落1"/>
    <w:basedOn w:val="1"/>
    <w:link w:val="32"/>
    <w:qFormat/>
    <w:uiPriority w:val="34"/>
    <w:pPr>
      <w:adjustRightInd w:val="0"/>
      <w:snapToGrid w:val="0"/>
      <w:ind w:right="240" w:firstLine="420"/>
    </w:pPr>
    <w:rPr>
      <w:szCs w:val="21"/>
    </w:rPr>
  </w:style>
  <w:style w:type="character" w:customStyle="1" w:styleId="32">
    <w:name w:val="列出段落 Char1"/>
    <w:link w:val="31"/>
    <w:qFormat/>
    <w:uiPriority w:val="34"/>
    <w:rPr>
      <w:rFonts w:ascii="Times New Roman" w:hAnsi="Times New Roman" w:eastAsia="宋体" w:cs="Times New Roman"/>
      <w:szCs w:val="21"/>
    </w:rPr>
  </w:style>
  <w:style w:type="paragraph" w:customStyle="1" w:styleId="33">
    <w:name w:val="_Style 2"/>
    <w:basedOn w:val="1"/>
    <w:qFormat/>
    <w:uiPriority w:val="0"/>
    <w:pPr>
      <w:widowControl/>
      <w:spacing w:after="160" w:line="240" w:lineRule="exact"/>
      <w:ind w:firstLine="0" w:firstLineChars="0"/>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FE70-15C5-412B-A459-CFEE73DB85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5601</Words>
  <Characters>5878</Characters>
  <Lines>53</Lines>
  <Paragraphs>15</Paragraphs>
  <TotalTime>1825</TotalTime>
  <ScaleCrop>false</ScaleCrop>
  <LinksUpToDate>false</LinksUpToDate>
  <CharactersWithSpaces>5964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2024-05-24T03:05:00Z</dcterms:created>
  <dc:creator>admin</dc:creator>
  <cp:lastModifiedBy>张洁</cp:lastModifiedBy>
  <cp:lastPrinted>2020-09-25T06:14:00Z</cp:lastPrinted>
  <dcterms:modified xsi:type="dcterms:W3CDTF">2024-09-13T03:04:44Z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0907CE40616D4B019BA074FA57F60C76_13</vt:lpwstr>
  </property>
</Properties>
</file>