
<file path=[Content_Types].xml><?xml version="1.0" encoding="utf-8"?>
<Types xmlns="http://schemas.openxmlformats.org/package/2006/content-types">
  <Default Extension="xml" ContentType="application/xml"/>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402C6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00E33DA">
            <w:pPr>
              <w:pStyle w:val="19"/>
              <w:framePr w:wrap="notBeside" w:vAnchor="page" w:hAnchor="page" w:x="1372" w:y="568"/>
              <w:tabs>
                <w:tab w:val="clear" w:pos="4153"/>
                <w:tab w:val="clear" w:pos="8306"/>
              </w:tabs>
              <w:spacing w:line="240" w:lineRule="auto"/>
              <w:jc w:val="left"/>
              <w:rPr>
                <w:rFonts w:ascii="黑体" w:hAnsi="黑体" w:eastAsia="黑体"/>
                <w:sz w:val="21"/>
                <w:szCs w:val="21"/>
              </w:rPr>
            </w:pPr>
            <w:bookmarkStart w:id="93" w:name="_GoBack"/>
            <w:bookmarkEnd w:id="93"/>
            <w:r>
              <w:rPr>
                <w:rFonts w:ascii="Times New Roman" w:hAnsi="Times New Roman" w:eastAsia="黑体"/>
                <w:sz w:val="21"/>
                <w:szCs w:val="21"/>
              </w:rPr>
              <w:t>ICS</w:t>
            </w:r>
          </w:p>
        </w:tc>
        <w:tc>
          <w:tcPr>
            <w:tcW w:w="8855" w:type="dxa"/>
          </w:tcPr>
          <w:p w14:paraId="5D385B95">
            <w:pPr>
              <w:pStyle w:val="19"/>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13.220.01</w:t>
            </w:r>
            <w:r>
              <w:rPr>
                <w:rFonts w:ascii="黑体" w:hAnsi="黑体" w:eastAsia="黑体"/>
                <w:sz w:val="21"/>
                <w:szCs w:val="21"/>
              </w:rPr>
              <w:fldChar w:fldCharType="end"/>
            </w:r>
            <w:bookmarkEnd w:id="0"/>
          </w:p>
        </w:tc>
      </w:tr>
      <w:tr w14:paraId="60211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EA459F3">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CCS</w:t>
            </w:r>
          </w:p>
        </w:tc>
        <w:tc>
          <w:tcPr>
            <w:tcW w:w="8855" w:type="dxa"/>
          </w:tcPr>
          <w:p w14:paraId="7E8F6DC6">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C 80</w:t>
            </w:r>
            <w:r>
              <w:rPr>
                <w:rFonts w:ascii="黑体" w:hAnsi="黑体" w:eastAsia="黑体"/>
                <w:sz w:val="21"/>
                <w:szCs w:val="21"/>
              </w:rPr>
              <w:fldChar w:fldCharType="end"/>
            </w:r>
            <w:bookmarkEnd w:id="1"/>
          </w:p>
        </w:tc>
      </w:tr>
    </w:tbl>
    <w:tbl>
      <w:tblPr>
        <w:tblStyle w:val="28"/>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046FF61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54AFC257">
            <w:pPr>
              <w:pStyle w:val="50"/>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3206</w:t>
            </w:r>
            <w:r>
              <w:fldChar w:fldCharType="end"/>
            </w:r>
            <w:bookmarkEnd w:id="3"/>
          </w:p>
        </w:tc>
      </w:tr>
    </w:tbl>
    <w:p w14:paraId="4A889163">
      <w:pPr>
        <w:pStyle w:val="51"/>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南通</w:t>
      </w:r>
      <w:r>
        <w:rPr>
          <w:rFonts w:ascii="黑体" w:eastAsia="黑体"/>
          <w:b w:val="0"/>
          <w:w w:val="100"/>
          <w:sz w:val="48"/>
        </w:rPr>
        <w:t>市</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14:paraId="34187F65">
      <w:pPr>
        <w:pStyle w:val="196"/>
        <w:framePr/>
        <w:rPr>
          <w:lang w:val="fr-FR"/>
        </w:rPr>
      </w:pPr>
      <w:r>
        <w:rPr>
          <w:lang w:val="fr-FR"/>
        </w:rPr>
        <w:t>DB</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lang w:val="fr-FR"/>
        </w:rPr>
        <w:t>3206</w:t>
      </w:r>
      <w:r>
        <w:rPr>
          <w:lang w:val="fr-FR"/>
        </w:rPr>
        <w:t>/T</w:t>
      </w:r>
      <w:r>
        <w:fldChar w:fldCharType="end"/>
      </w:r>
      <w:bookmarkEnd w:id="5"/>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14:paraId="504CD149">
      <w:pPr>
        <w:pStyle w:val="197"/>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0B428021">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4445" r="0" b="508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eD&#10;SZbYAAAADAEAAA8AAAAAAAAAAQAgAAAAIgAAAGRycy9kb3ducmV2LnhtbFBLAQIUABQAAAAIAIdO&#10;4kDurh1R6gEAALoDAAAOAAAAAAAAAAEAIAAAACcBAABkcnMvZTJvRG9jLnhtbFBLBQYAAAAABgAG&#10;AFkBAACDBQAAAAA=&#10;">
                <v:fill on="f" focussize="0,0"/>
                <v:stroke color="#000000" joinstyle="round"/>
                <v:imagedata o:title=""/>
                <o:lock v:ext="edit" aspectratio="f"/>
              </v:line>
            </w:pict>
          </mc:Fallback>
        </mc:AlternateContent>
      </w:r>
    </w:p>
    <w:p w14:paraId="712154E4">
      <w:pPr>
        <w:pStyle w:val="51"/>
        <w:framePr w:w="9639" w:h="6976" w:hRule="exact" w:hSpace="0" w:vSpace="0" w:wrap="around" w:hAnchor="page" w:y="6408"/>
        <w:jc w:val="center"/>
        <w:rPr>
          <w:rFonts w:ascii="黑体" w:hAnsi="黑体" w:eastAsia="黑体"/>
          <w:b w:val="0"/>
          <w:bCs w:val="0"/>
          <w:w w:val="100"/>
        </w:rPr>
      </w:pPr>
    </w:p>
    <w:p w14:paraId="74D48893">
      <w:pPr>
        <w:pStyle w:val="198"/>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电</w:t>
      </w:r>
      <w:r>
        <w:t>动自行车消防安全管理规范</w:t>
      </w:r>
      <w:r>
        <w:fldChar w:fldCharType="end"/>
      </w:r>
      <w:bookmarkEnd w:id="9"/>
    </w:p>
    <w:p w14:paraId="4E88352C">
      <w:pPr>
        <w:framePr w:w="9639" w:h="6974" w:hRule="exact" w:wrap="around" w:vAnchor="page" w:hAnchor="page" w:x="1419" w:y="6408" w:anchorLock="1"/>
        <w:ind w:left="-1418"/>
      </w:pPr>
    </w:p>
    <w:p w14:paraId="30A8766A">
      <w:pPr>
        <w:pStyle w:val="126"/>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eastAsia="黑体"/>
          <w:szCs w:val="28"/>
        </w:rPr>
        <w:t>Fire safety management regulations for electric bicycles</w:t>
      </w:r>
      <w:r>
        <w:rPr>
          <w:rFonts w:eastAsia="黑体"/>
          <w:szCs w:val="28"/>
        </w:rPr>
        <w:fldChar w:fldCharType="end"/>
      </w:r>
      <w:bookmarkEnd w:id="10"/>
    </w:p>
    <w:p w14:paraId="2D061DDE">
      <w:pPr>
        <w:framePr w:w="9639" w:h="6974" w:hRule="exact" w:wrap="around" w:vAnchor="page" w:hAnchor="page" w:x="1419" w:y="6408" w:anchorLock="1"/>
        <w:spacing w:line="760" w:lineRule="exact"/>
        <w:ind w:left="-1418"/>
      </w:pPr>
    </w:p>
    <w:p w14:paraId="3C180F8F">
      <w:pPr>
        <w:pStyle w:val="126"/>
        <w:framePr w:w="9639" w:h="6974" w:hRule="exact" w:wrap="around" w:vAnchor="page" w:hAnchor="page" w:x="1419" w:y="6408" w:anchorLock="1"/>
        <w:textAlignment w:val="bottom"/>
        <w:rPr>
          <w:rFonts w:eastAsia="黑体"/>
          <w:szCs w:val="28"/>
        </w:rPr>
      </w:pPr>
    </w:p>
    <w:p w14:paraId="46CC615B">
      <w:pPr>
        <w:pStyle w:val="126"/>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6"/>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620D4613">
      <w:pPr>
        <w:pStyle w:val="12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7B3C9B3E">
      <w:pPr>
        <w:pStyle w:val="126"/>
        <w:framePr w:w="9639" w:h="6974" w:hRule="exact" w:wrap="around" w:vAnchor="page" w:hAnchor="page" w:x="1419" w:y="6408" w:anchorLock="1"/>
        <w:spacing w:beforeLines="300"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61FA65CF">
      <w:pPr>
        <w:pStyle w:val="194"/>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hint="eastAsia" w:ascii="黑体"/>
        </w:rPr>
        <w:t>2024</w:t>
      </w:r>
      <w:r>
        <w:rPr>
          <w:rFonts w:ascii="黑体"/>
        </w:rPr>
        <w:fldChar w:fldCharType="end"/>
      </w:r>
      <w:bookmarkEnd w:id="14"/>
      <w:r>
        <w:rPr>
          <w:rFonts w:ascii="黑体"/>
        </w:rPr>
        <w:t>-</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ascii="黑体"/>
        </w:rPr>
        <w:t>-</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6FF28DA4">
      <w:pPr>
        <w:pStyle w:val="195"/>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hint="eastAsia" w:ascii="黑体"/>
        </w:rPr>
        <w:t>2024</w:t>
      </w:r>
      <w:r>
        <w:rPr>
          <w:rFonts w:ascii="黑体"/>
        </w:rPr>
        <w:fldChar w:fldCharType="end"/>
      </w:r>
      <w:bookmarkEnd w:id="17"/>
      <w:r>
        <w:rPr>
          <w:rFonts w:ascii="黑体"/>
        </w:rPr>
        <w:t>-</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rPr>
          <w:rFonts w:ascii="黑体"/>
        </w:rPr>
        <w:t>-</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443E9BBB">
      <w:pPr>
        <w:pStyle w:val="152"/>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南通</w:t>
      </w:r>
      <w:r>
        <w:rPr>
          <w:rFonts w:hAnsi="黑体"/>
          <w:w w:val="100"/>
          <w:sz w:val="28"/>
        </w:rPr>
        <w:t>市市场监督管理局</w:t>
      </w:r>
      <w:r>
        <w:rPr>
          <w:rFonts w:hAnsi="黑体"/>
          <w:w w:val="100"/>
          <w:sz w:val="28"/>
        </w:rPr>
        <w:fldChar w:fldCharType="end"/>
      </w:r>
      <w:bookmarkEnd w:id="20"/>
      <w:r>
        <w:rPr>
          <w:rFonts w:ascii="Times New Roman"/>
          <w:w w:val="100"/>
          <w:sz w:val="28"/>
        </w:rPr>
        <w:t>  </w:t>
      </w:r>
      <w:r>
        <w:rPr>
          <w:rStyle w:val="230"/>
          <w:rFonts w:hint="eastAsia" w:hAnsi="黑体"/>
          <w:position w:val="0"/>
        </w:rPr>
        <w:t>发</w:t>
      </w:r>
      <w:r>
        <w:rPr>
          <w:rStyle w:val="230"/>
          <w:rFonts w:hint="eastAsia" w:hAnsi="黑体"/>
          <w:spacing w:val="0"/>
          <w:position w:val="0"/>
        </w:rPr>
        <w:t>布</w:t>
      </w:r>
    </w:p>
    <w:p w14:paraId="425AD4FD">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4445" r="0" b="508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szHPvX&#10;AAAADgEAAA8AAAAAAAAAAQAgAAAAIgAAAGRycy9kb3ducmV2LnhtbFBLAQIUABQAAAAIAIdO4kB3&#10;Ymi56AEAALgDAAAOAAAAAAAAAAEAIAAAACYBAABkcnMvZTJvRG9jLnhtbFBLBQYAAAAABgAGAFkB&#10;AACABQAAAAA=&#10;">
                <v:fill on="f" focussize="0,0"/>
                <v:stroke color="#000000" joinstyle="round"/>
                <v:imagedata o:title=""/>
                <o:lock v:ext="edit" aspectratio="f"/>
                <w10:anchorlock/>
              </v:line>
            </w:pict>
          </mc:Fallback>
        </mc:AlternateContent>
      </w:r>
    </w:p>
    <w:p w14:paraId="336C3A3F">
      <w:pPr>
        <w:pStyle w:val="92"/>
        <w:spacing w:after="468"/>
      </w:pPr>
      <w:bookmarkStart w:id="21" w:name="BookMark1"/>
      <w:r>
        <w:rPr>
          <w:rFonts w:hint="eastAsia"/>
          <w:spacing w:val="320"/>
        </w:rPr>
        <w:t>目</w:t>
      </w:r>
      <w:r>
        <w:rPr>
          <w:rFonts w:hint="eastAsia"/>
        </w:rPr>
        <w:t>次</w:t>
      </w:r>
    </w:p>
    <w:p w14:paraId="38EF9428">
      <w:pPr>
        <w:pStyle w:val="20"/>
        <w:tabs>
          <w:tab w:val="right" w:leader="dot" w:pos="9344"/>
        </w:tabs>
        <w:rPr>
          <w:rFonts w:asciiTheme="minorHAnsi" w:hAnsiTheme="minorHAnsi" w:eastAsiaTheme="minorEastAsia" w:cstheme="minorBidi"/>
          <w:szCs w:val="22"/>
        </w:rPr>
      </w:pPr>
      <w:r>
        <w:fldChar w:fldCharType="begin"/>
      </w:r>
      <w:r>
        <w:instrText xml:space="preserve"> </w:instrText>
      </w:r>
      <w:r>
        <w:rPr>
          <w:rFonts w:hint="eastAsia"/>
        </w:rPr>
        <w:instrText xml:space="preserve">TOC \o "1-1" \h \t "标准文件_一级条标题,2,标准文件_附录一级条标题,2,"</w:instrText>
      </w:r>
      <w:r>
        <w:instrText xml:space="preserve"> </w:instrText>
      </w:r>
      <w:r>
        <w:fldChar w:fldCharType="separate"/>
      </w:r>
      <w:r>
        <w:fldChar w:fldCharType="begin"/>
      </w:r>
      <w:r>
        <w:instrText xml:space="preserve"> HYPERLINK \l "_Toc173007720" </w:instrText>
      </w:r>
      <w:r>
        <w:fldChar w:fldCharType="separate"/>
      </w:r>
      <w:r>
        <w:rPr>
          <w:rStyle w:val="33"/>
          <w:rFonts w:hint="eastAsia"/>
        </w:rPr>
        <w:t>前言</w:t>
      </w:r>
      <w:r>
        <w:tab/>
      </w:r>
      <w:r>
        <w:fldChar w:fldCharType="begin"/>
      </w:r>
      <w:r>
        <w:instrText xml:space="preserve"> PAGEREF _Toc173007720 \h </w:instrText>
      </w:r>
      <w:r>
        <w:fldChar w:fldCharType="separate"/>
      </w:r>
      <w:r>
        <w:t>II</w:t>
      </w:r>
      <w:r>
        <w:fldChar w:fldCharType="end"/>
      </w:r>
      <w:r>
        <w:fldChar w:fldCharType="end"/>
      </w:r>
    </w:p>
    <w:p w14:paraId="229FBFA1">
      <w:pPr>
        <w:pStyle w:val="20"/>
        <w:tabs>
          <w:tab w:val="right" w:leader="dot" w:pos="9344"/>
        </w:tabs>
        <w:rPr>
          <w:rFonts w:asciiTheme="minorHAnsi" w:hAnsiTheme="minorHAnsi" w:eastAsiaTheme="minorEastAsia" w:cstheme="minorBidi"/>
          <w:szCs w:val="22"/>
        </w:rPr>
      </w:pPr>
      <w:r>
        <w:fldChar w:fldCharType="begin"/>
      </w:r>
      <w:r>
        <w:instrText xml:space="preserve"> HYPERLINK \l "_Toc173007721" </w:instrText>
      </w:r>
      <w:r>
        <w:fldChar w:fldCharType="separate"/>
      </w:r>
      <w:r>
        <w:rPr>
          <w:rStyle w:val="33"/>
        </w:rPr>
        <w:t xml:space="preserve">1 </w:t>
      </w:r>
      <w:r>
        <w:rPr>
          <w:rStyle w:val="33"/>
          <w:rFonts w:hint="eastAsia"/>
        </w:rPr>
        <w:t xml:space="preserve"> 范围</w:t>
      </w:r>
      <w:r>
        <w:tab/>
      </w:r>
      <w:r>
        <w:fldChar w:fldCharType="begin"/>
      </w:r>
      <w:r>
        <w:instrText xml:space="preserve"> PAGEREF _Toc173007721 \h </w:instrText>
      </w:r>
      <w:r>
        <w:fldChar w:fldCharType="separate"/>
      </w:r>
      <w:r>
        <w:t>3</w:t>
      </w:r>
      <w:r>
        <w:fldChar w:fldCharType="end"/>
      </w:r>
      <w:r>
        <w:fldChar w:fldCharType="end"/>
      </w:r>
    </w:p>
    <w:p w14:paraId="626DBCB3">
      <w:pPr>
        <w:pStyle w:val="20"/>
        <w:tabs>
          <w:tab w:val="right" w:leader="dot" w:pos="9344"/>
        </w:tabs>
        <w:rPr>
          <w:rFonts w:asciiTheme="minorHAnsi" w:hAnsiTheme="minorHAnsi" w:eastAsiaTheme="minorEastAsia" w:cstheme="minorBidi"/>
          <w:szCs w:val="22"/>
        </w:rPr>
      </w:pPr>
      <w:r>
        <w:fldChar w:fldCharType="begin"/>
      </w:r>
      <w:r>
        <w:instrText xml:space="preserve"> HYPERLINK \l "_Toc173007722" </w:instrText>
      </w:r>
      <w:r>
        <w:fldChar w:fldCharType="separate"/>
      </w:r>
      <w:r>
        <w:rPr>
          <w:rStyle w:val="33"/>
        </w:rPr>
        <w:t xml:space="preserve">2 </w:t>
      </w:r>
      <w:r>
        <w:rPr>
          <w:rStyle w:val="33"/>
          <w:rFonts w:hint="eastAsia"/>
        </w:rPr>
        <w:t xml:space="preserve"> 规范性引用文件</w:t>
      </w:r>
      <w:r>
        <w:tab/>
      </w:r>
      <w:r>
        <w:fldChar w:fldCharType="begin"/>
      </w:r>
      <w:r>
        <w:instrText xml:space="preserve"> PAGEREF _Toc173007722 \h </w:instrText>
      </w:r>
      <w:r>
        <w:fldChar w:fldCharType="separate"/>
      </w:r>
      <w:r>
        <w:t>3</w:t>
      </w:r>
      <w:r>
        <w:fldChar w:fldCharType="end"/>
      </w:r>
      <w:r>
        <w:fldChar w:fldCharType="end"/>
      </w:r>
    </w:p>
    <w:p w14:paraId="41455B35">
      <w:pPr>
        <w:pStyle w:val="20"/>
        <w:tabs>
          <w:tab w:val="right" w:leader="dot" w:pos="9344"/>
        </w:tabs>
        <w:rPr>
          <w:rFonts w:asciiTheme="minorHAnsi" w:hAnsiTheme="minorHAnsi" w:eastAsiaTheme="minorEastAsia" w:cstheme="minorBidi"/>
          <w:szCs w:val="22"/>
        </w:rPr>
      </w:pPr>
      <w:r>
        <w:fldChar w:fldCharType="begin"/>
      </w:r>
      <w:r>
        <w:instrText xml:space="preserve"> HYPERLINK \l "_Toc173007723" </w:instrText>
      </w:r>
      <w:r>
        <w:fldChar w:fldCharType="separate"/>
      </w:r>
      <w:r>
        <w:rPr>
          <w:rStyle w:val="33"/>
        </w:rPr>
        <w:t xml:space="preserve">3 </w:t>
      </w:r>
      <w:r>
        <w:rPr>
          <w:rStyle w:val="33"/>
          <w:rFonts w:hint="eastAsia"/>
        </w:rPr>
        <w:t xml:space="preserve"> 术语和定义</w:t>
      </w:r>
      <w:r>
        <w:tab/>
      </w:r>
      <w:r>
        <w:fldChar w:fldCharType="begin"/>
      </w:r>
      <w:r>
        <w:instrText xml:space="preserve"> PAGEREF _Toc173007723 \h </w:instrText>
      </w:r>
      <w:r>
        <w:fldChar w:fldCharType="separate"/>
      </w:r>
      <w:r>
        <w:t>3</w:t>
      </w:r>
      <w:r>
        <w:fldChar w:fldCharType="end"/>
      </w:r>
      <w:r>
        <w:fldChar w:fldCharType="end"/>
      </w:r>
    </w:p>
    <w:p w14:paraId="61E7639A">
      <w:pPr>
        <w:pStyle w:val="20"/>
        <w:tabs>
          <w:tab w:val="right" w:leader="dot" w:pos="9344"/>
        </w:tabs>
        <w:rPr>
          <w:rFonts w:asciiTheme="minorHAnsi" w:hAnsiTheme="minorHAnsi" w:eastAsiaTheme="minorEastAsia" w:cstheme="minorBidi"/>
          <w:szCs w:val="22"/>
        </w:rPr>
      </w:pPr>
      <w:r>
        <w:fldChar w:fldCharType="begin"/>
      </w:r>
      <w:r>
        <w:instrText xml:space="preserve"> HYPERLINK \l "_Toc173007724" </w:instrText>
      </w:r>
      <w:r>
        <w:fldChar w:fldCharType="separate"/>
      </w:r>
      <w:r>
        <w:rPr>
          <w:rStyle w:val="33"/>
        </w:rPr>
        <w:t xml:space="preserve">4 </w:t>
      </w:r>
      <w:r>
        <w:rPr>
          <w:rStyle w:val="33"/>
          <w:rFonts w:hint="eastAsia"/>
        </w:rPr>
        <w:t xml:space="preserve"> 总则</w:t>
      </w:r>
      <w:r>
        <w:tab/>
      </w:r>
      <w:r>
        <w:fldChar w:fldCharType="begin"/>
      </w:r>
      <w:r>
        <w:instrText xml:space="preserve"> PAGEREF _Toc173007724 \h </w:instrText>
      </w:r>
      <w:r>
        <w:fldChar w:fldCharType="separate"/>
      </w:r>
      <w:r>
        <w:t>4</w:t>
      </w:r>
      <w:r>
        <w:fldChar w:fldCharType="end"/>
      </w:r>
      <w:r>
        <w:fldChar w:fldCharType="end"/>
      </w:r>
    </w:p>
    <w:p w14:paraId="3A26DB39">
      <w:pPr>
        <w:pStyle w:val="20"/>
        <w:tabs>
          <w:tab w:val="right" w:leader="dot" w:pos="9344"/>
        </w:tabs>
        <w:rPr>
          <w:rFonts w:asciiTheme="minorHAnsi" w:hAnsiTheme="minorHAnsi" w:eastAsiaTheme="minorEastAsia" w:cstheme="minorBidi"/>
          <w:szCs w:val="22"/>
        </w:rPr>
      </w:pPr>
      <w:r>
        <w:fldChar w:fldCharType="begin"/>
      </w:r>
      <w:r>
        <w:instrText xml:space="preserve"> HYPERLINK \l "_Toc173007725" </w:instrText>
      </w:r>
      <w:r>
        <w:fldChar w:fldCharType="separate"/>
      </w:r>
      <w:r>
        <w:rPr>
          <w:rStyle w:val="33"/>
        </w:rPr>
        <w:t xml:space="preserve">5 </w:t>
      </w:r>
      <w:r>
        <w:rPr>
          <w:rStyle w:val="33"/>
          <w:rFonts w:hint="eastAsia"/>
        </w:rPr>
        <w:t xml:space="preserve"> 电动自行车使用人的管理</w:t>
      </w:r>
      <w:r>
        <w:tab/>
      </w:r>
      <w:r>
        <w:fldChar w:fldCharType="begin"/>
      </w:r>
      <w:r>
        <w:instrText xml:space="preserve"> PAGEREF _Toc173007725 \h </w:instrText>
      </w:r>
      <w:r>
        <w:fldChar w:fldCharType="separate"/>
      </w:r>
      <w:r>
        <w:t>4</w:t>
      </w:r>
      <w:r>
        <w:fldChar w:fldCharType="end"/>
      </w:r>
      <w:r>
        <w:fldChar w:fldCharType="end"/>
      </w:r>
    </w:p>
    <w:p w14:paraId="5C5470FD">
      <w:pPr>
        <w:pStyle w:val="25"/>
        <w:rPr>
          <w:rFonts w:asciiTheme="minorHAnsi" w:hAnsiTheme="minorHAnsi" w:eastAsiaTheme="minorEastAsia" w:cstheme="minorBidi"/>
          <w:szCs w:val="22"/>
        </w:rPr>
      </w:pPr>
      <w:r>
        <w:fldChar w:fldCharType="begin"/>
      </w:r>
      <w:r>
        <w:instrText xml:space="preserve"> HYPERLINK \l "_Toc173007726" </w:instrText>
      </w:r>
      <w:r>
        <w:fldChar w:fldCharType="separate"/>
      </w:r>
      <w:r>
        <w:rPr>
          <w:rStyle w:val="33"/>
        </w:rPr>
        <w:t xml:space="preserve">5.1 </w:t>
      </w:r>
      <w:r>
        <w:rPr>
          <w:rStyle w:val="33"/>
          <w:rFonts w:hint="eastAsia"/>
        </w:rPr>
        <w:t xml:space="preserve"> 一般规定</w:t>
      </w:r>
      <w:r>
        <w:tab/>
      </w:r>
      <w:r>
        <w:fldChar w:fldCharType="begin"/>
      </w:r>
      <w:r>
        <w:instrText xml:space="preserve"> PAGEREF _Toc173007726 \h </w:instrText>
      </w:r>
      <w:r>
        <w:fldChar w:fldCharType="separate"/>
      </w:r>
      <w:r>
        <w:t>4</w:t>
      </w:r>
      <w:r>
        <w:fldChar w:fldCharType="end"/>
      </w:r>
      <w:r>
        <w:fldChar w:fldCharType="end"/>
      </w:r>
    </w:p>
    <w:p w14:paraId="43380EE0">
      <w:pPr>
        <w:pStyle w:val="25"/>
        <w:rPr>
          <w:rFonts w:asciiTheme="minorHAnsi" w:hAnsiTheme="minorHAnsi" w:eastAsiaTheme="minorEastAsia" w:cstheme="minorBidi"/>
          <w:szCs w:val="22"/>
        </w:rPr>
      </w:pPr>
      <w:r>
        <w:fldChar w:fldCharType="begin"/>
      </w:r>
      <w:r>
        <w:instrText xml:space="preserve"> HYPERLINK \l "_Toc173007727" </w:instrText>
      </w:r>
      <w:r>
        <w:fldChar w:fldCharType="separate"/>
      </w:r>
      <w:r>
        <w:rPr>
          <w:rStyle w:val="33"/>
        </w:rPr>
        <w:t xml:space="preserve">5.2 </w:t>
      </w:r>
      <w:r>
        <w:rPr>
          <w:rStyle w:val="33"/>
          <w:rFonts w:hint="eastAsia"/>
        </w:rPr>
        <w:t xml:space="preserve"> 使用</w:t>
      </w:r>
      <w:r>
        <w:tab/>
      </w:r>
      <w:r>
        <w:fldChar w:fldCharType="begin"/>
      </w:r>
      <w:r>
        <w:instrText xml:space="preserve"> PAGEREF _Toc173007727 \h </w:instrText>
      </w:r>
      <w:r>
        <w:fldChar w:fldCharType="separate"/>
      </w:r>
      <w:r>
        <w:t>5</w:t>
      </w:r>
      <w:r>
        <w:fldChar w:fldCharType="end"/>
      </w:r>
      <w:r>
        <w:fldChar w:fldCharType="end"/>
      </w:r>
    </w:p>
    <w:p w14:paraId="25A01240">
      <w:pPr>
        <w:pStyle w:val="25"/>
        <w:rPr>
          <w:rFonts w:asciiTheme="minorHAnsi" w:hAnsiTheme="minorHAnsi" w:eastAsiaTheme="minorEastAsia" w:cstheme="minorBidi"/>
          <w:szCs w:val="22"/>
        </w:rPr>
      </w:pPr>
      <w:r>
        <w:fldChar w:fldCharType="begin"/>
      </w:r>
      <w:r>
        <w:instrText xml:space="preserve"> HYPERLINK \l "_Toc173007728" </w:instrText>
      </w:r>
      <w:r>
        <w:fldChar w:fldCharType="separate"/>
      </w:r>
      <w:r>
        <w:rPr>
          <w:rStyle w:val="33"/>
        </w:rPr>
        <w:t xml:space="preserve">5.3 </w:t>
      </w:r>
      <w:r>
        <w:rPr>
          <w:rStyle w:val="33"/>
          <w:rFonts w:hint="eastAsia"/>
        </w:rPr>
        <w:t xml:space="preserve"> 停放</w:t>
      </w:r>
      <w:r>
        <w:tab/>
      </w:r>
      <w:r>
        <w:fldChar w:fldCharType="begin"/>
      </w:r>
      <w:r>
        <w:instrText xml:space="preserve"> PAGEREF _Toc173007728 \h </w:instrText>
      </w:r>
      <w:r>
        <w:fldChar w:fldCharType="separate"/>
      </w:r>
      <w:r>
        <w:t>5</w:t>
      </w:r>
      <w:r>
        <w:fldChar w:fldCharType="end"/>
      </w:r>
      <w:r>
        <w:fldChar w:fldCharType="end"/>
      </w:r>
    </w:p>
    <w:p w14:paraId="350A9958">
      <w:pPr>
        <w:pStyle w:val="25"/>
        <w:rPr>
          <w:rFonts w:asciiTheme="minorHAnsi" w:hAnsiTheme="minorHAnsi" w:eastAsiaTheme="minorEastAsia" w:cstheme="minorBidi"/>
          <w:szCs w:val="22"/>
        </w:rPr>
      </w:pPr>
      <w:r>
        <w:fldChar w:fldCharType="begin"/>
      </w:r>
      <w:r>
        <w:instrText xml:space="preserve"> HYPERLINK \l "_Toc173007729" </w:instrText>
      </w:r>
      <w:r>
        <w:fldChar w:fldCharType="separate"/>
      </w:r>
      <w:r>
        <w:rPr>
          <w:rStyle w:val="33"/>
        </w:rPr>
        <w:t xml:space="preserve">5.4 </w:t>
      </w:r>
      <w:r>
        <w:rPr>
          <w:rStyle w:val="33"/>
          <w:rFonts w:hint="eastAsia"/>
        </w:rPr>
        <w:t xml:space="preserve"> 充电</w:t>
      </w:r>
      <w:r>
        <w:tab/>
      </w:r>
      <w:r>
        <w:fldChar w:fldCharType="begin"/>
      </w:r>
      <w:r>
        <w:instrText xml:space="preserve"> PAGEREF _Toc173007729 \h </w:instrText>
      </w:r>
      <w:r>
        <w:fldChar w:fldCharType="separate"/>
      </w:r>
      <w:r>
        <w:t>5</w:t>
      </w:r>
      <w:r>
        <w:fldChar w:fldCharType="end"/>
      </w:r>
      <w:r>
        <w:fldChar w:fldCharType="end"/>
      </w:r>
    </w:p>
    <w:p w14:paraId="6DEF5E17">
      <w:pPr>
        <w:pStyle w:val="25"/>
        <w:rPr>
          <w:rFonts w:asciiTheme="minorHAnsi" w:hAnsiTheme="minorHAnsi" w:eastAsiaTheme="minorEastAsia" w:cstheme="minorBidi"/>
          <w:szCs w:val="22"/>
        </w:rPr>
      </w:pPr>
      <w:r>
        <w:fldChar w:fldCharType="begin"/>
      </w:r>
      <w:r>
        <w:instrText xml:space="preserve"> HYPERLINK \l "_Toc173007730" </w:instrText>
      </w:r>
      <w:r>
        <w:fldChar w:fldCharType="separate"/>
      </w:r>
      <w:r>
        <w:rPr>
          <w:rStyle w:val="33"/>
        </w:rPr>
        <w:t xml:space="preserve">5.5 </w:t>
      </w:r>
      <w:r>
        <w:rPr>
          <w:rStyle w:val="33"/>
          <w:rFonts w:hint="eastAsia"/>
        </w:rPr>
        <w:t xml:space="preserve"> 维护保养</w:t>
      </w:r>
      <w:r>
        <w:tab/>
      </w:r>
      <w:r>
        <w:fldChar w:fldCharType="begin"/>
      </w:r>
      <w:r>
        <w:instrText xml:space="preserve"> PAGEREF _Toc173007730 \h </w:instrText>
      </w:r>
      <w:r>
        <w:fldChar w:fldCharType="separate"/>
      </w:r>
      <w:r>
        <w:t>5</w:t>
      </w:r>
      <w:r>
        <w:fldChar w:fldCharType="end"/>
      </w:r>
      <w:r>
        <w:fldChar w:fldCharType="end"/>
      </w:r>
    </w:p>
    <w:p w14:paraId="408E0560">
      <w:pPr>
        <w:pStyle w:val="20"/>
        <w:tabs>
          <w:tab w:val="right" w:leader="dot" w:pos="9344"/>
        </w:tabs>
        <w:rPr>
          <w:rFonts w:asciiTheme="minorHAnsi" w:hAnsiTheme="minorHAnsi" w:eastAsiaTheme="minorEastAsia" w:cstheme="minorBidi"/>
          <w:szCs w:val="22"/>
        </w:rPr>
      </w:pPr>
      <w:r>
        <w:fldChar w:fldCharType="begin"/>
      </w:r>
      <w:r>
        <w:instrText xml:space="preserve"> HYPERLINK \l "_Toc173007731" </w:instrText>
      </w:r>
      <w:r>
        <w:fldChar w:fldCharType="separate"/>
      </w:r>
      <w:r>
        <w:rPr>
          <w:rStyle w:val="33"/>
        </w:rPr>
        <w:t xml:space="preserve">6 </w:t>
      </w:r>
      <w:r>
        <w:rPr>
          <w:rStyle w:val="33"/>
          <w:rFonts w:hint="eastAsia"/>
        </w:rPr>
        <w:t xml:space="preserve"> 销售维修售后服务单位的管理</w:t>
      </w:r>
      <w:r>
        <w:tab/>
      </w:r>
      <w:r>
        <w:fldChar w:fldCharType="begin"/>
      </w:r>
      <w:r>
        <w:instrText xml:space="preserve"> PAGEREF _Toc173007731 \h </w:instrText>
      </w:r>
      <w:r>
        <w:fldChar w:fldCharType="separate"/>
      </w:r>
      <w:r>
        <w:t>5</w:t>
      </w:r>
      <w:r>
        <w:fldChar w:fldCharType="end"/>
      </w:r>
      <w:r>
        <w:fldChar w:fldCharType="end"/>
      </w:r>
    </w:p>
    <w:p w14:paraId="0A5187B4">
      <w:pPr>
        <w:pStyle w:val="20"/>
        <w:tabs>
          <w:tab w:val="right" w:leader="dot" w:pos="9344"/>
        </w:tabs>
        <w:rPr>
          <w:rFonts w:asciiTheme="minorHAnsi" w:hAnsiTheme="minorHAnsi" w:eastAsiaTheme="minorEastAsia" w:cstheme="minorBidi"/>
          <w:szCs w:val="22"/>
        </w:rPr>
      </w:pPr>
      <w:r>
        <w:fldChar w:fldCharType="begin"/>
      </w:r>
      <w:r>
        <w:instrText xml:space="preserve"> HYPERLINK \l "_Toc173007732" </w:instrText>
      </w:r>
      <w:r>
        <w:fldChar w:fldCharType="separate"/>
      </w:r>
      <w:r>
        <w:rPr>
          <w:rStyle w:val="33"/>
        </w:rPr>
        <w:t xml:space="preserve">7 </w:t>
      </w:r>
      <w:r>
        <w:rPr>
          <w:rStyle w:val="33"/>
          <w:rFonts w:hint="eastAsia"/>
        </w:rPr>
        <w:t xml:space="preserve"> 停放充电场所设置</w:t>
      </w:r>
      <w:r>
        <w:tab/>
      </w:r>
      <w:r>
        <w:fldChar w:fldCharType="begin"/>
      </w:r>
      <w:r>
        <w:instrText xml:space="preserve"> PAGEREF _Toc173007732 \h </w:instrText>
      </w:r>
      <w:r>
        <w:fldChar w:fldCharType="separate"/>
      </w:r>
      <w:r>
        <w:t>6</w:t>
      </w:r>
      <w:r>
        <w:fldChar w:fldCharType="end"/>
      </w:r>
      <w:r>
        <w:fldChar w:fldCharType="end"/>
      </w:r>
    </w:p>
    <w:p w14:paraId="5C3802C9">
      <w:pPr>
        <w:pStyle w:val="25"/>
        <w:rPr>
          <w:rFonts w:asciiTheme="minorHAnsi" w:hAnsiTheme="minorHAnsi" w:eastAsiaTheme="minorEastAsia" w:cstheme="minorBidi"/>
          <w:szCs w:val="22"/>
        </w:rPr>
      </w:pPr>
      <w:r>
        <w:fldChar w:fldCharType="begin"/>
      </w:r>
      <w:r>
        <w:instrText xml:space="preserve"> HYPERLINK \l "_Toc173007733" </w:instrText>
      </w:r>
      <w:r>
        <w:fldChar w:fldCharType="separate"/>
      </w:r>
      <w:r>
        <w:rPr>
          <w:rStyle w:val="33"/>
        </w:rPr>
        <w:t xml:space="preserve">7.1 </w:t>
      </w:r>
      <w:r>
        <w:rPr>
          <w:rStyle w:val="33"/>
          <w:rFonts w:hint="eastAsia"/>
        </w:rPr>
        <w:t xml:space="preserve"> 一般规定</w:t>
      </w:r>
      <w:r>
        <w:tab/>
      </w:r>
      <w:r>
        <w:fldChar w:fldCharType="begin"/>
      </w:r>
      <w:r>
        <w:instrText xml:space="preserve"> PAGEREF _Toc173007733 \h </w:instrText>
      </w:r>
      <w:r>
        <w:fldChar w:fldCharType="separate"/>
      </w:r>
      <w:r>
        <w:t>6</w:t>
      </w:r>
      <w:r>
        <w:fldChar w:fldCharType="end"/>
      </w:r>
      <w:r>
        <w:fldChar w:fldCharType="end"/>
      </w:r>
    </w:p>
    <w:p w14:paraId="4501423D">
      <w:pPr>
        <w:pStyle w:val="25"/>
        <w:rPr>
          <w:rFonts w:asciiTheme="minorHAnsi" w:hAnsiTheme="minorHAnsi" w:eastAsiaTheme="minorEastAsia" w:cstheme="minorBidi"/>
          <w:szCs w:val="22"/>
        </w:rPr>
      </w:pPr>
      <w:r>
        <w:fldChar w:fldCharType="begin"/>
      </w:r>
      <w:r>
        <w:instrText xml:space="preserve"> HYPERLINK \l "_Toc173007734" </w:instrText>
      </w:r>
      <w:r>
        <w:fldChar w:fldCharType="separate"/>
      </w:r>
      <w:r>
        <w:rPr>
          <w:rStyle w:val="33"/>
        </w:rPr>
        <w:t xml:space="preserve">7.2 </w:t>
      </w:r>
      <w:r>
        <w:rPr>
          <w:rStyle w:val="33"/>
          <w:rFonts w:hint="eastAsia"/>
        </w:rPr>
        <w:t xml:space="preserve"> 架空层作电动自行车停放充电场所</w:t>
      </w:r>
      <w:r>
        <w:tab/>
      </w:r>
      <w:r>
        <w:fldChar w:fldCharType="begin"/>
      </w:r>
      <w:r>
        <w:instrText xml:space="preserve"> PAGEREF _Toc173007734 \h </w:instrText>
      </w:r>
      <w:r>
        <w:fldChar w:fldCharType="separate"/>
      </w:r>
      <w:r>
        <w:t>6</w:t>
      </w:r>
      <w:r>
        <w:fldChar w:fldCharType="end"/>
      </w:r>
      <w:r>
        <w:fldChar w:fldCharType="end"/>
      </w:r>
    </w:p>
    <w:p w14:paraId="61B254DF">
      <w:pPr>
        <w:pStyle w:val="25"/>
        <w:rPr>
          <w:rFonts w:asciiTheme="minorHAnsi" w:hAnsiTheme="minorHAnsi" w:eastAsiaTheme="minorEastAsia" w:cstheme="minorBidi"/>
          <w:szCs w:val="22"/>
        </w:rPr>
      </w:pPr>
      <w:r>
        <w:fldChar w:fldCharType="begin"/>
      </w:r>
      <w:r>
        <w:instrText xml:space="preserve"> HYPERLINK \l "_Toc173007735" </w:instrText>
      </w:r>
      <w:r>
        <w:fldChar w:fldCharType="separate"/>
      </w:r>
      <w:r>
        <w:rPr>
          <w:rStyle w:val="33"/>
        </w:rPr>
        <w:t xml:space="preserve">7.3 </w:t>
      </w:r>
      <w:r>
        <w:rPr>
          <w:rStyle w:val="33"/>
          <w:rFonts w:hint="eastAsia"/>
        </w:rPr>
        <w:t xml:space="preserve"> 充（换）电柜</w:t>
      </w:r>
      <w:r>
        <w:tab/>
      </w:r>
      <w:r>
        <w:fldChar w:fldCharType="begin"/>
      </w:r>
      <w:r>
        <w:instrText xml:space="preserve"> PAGEREF _Toc173007735 \h </w:instrText>
      </w:r>
      <w:r>
        <w:fldChar w:fldCharType="separate"/>
      </w:r>
      <w:r>
        <w:t>7</w:t>
      </w:r>
      <w:r>
        <w:fldChar w:fldCharType="end"/>
      </w:r>
      <w:r>
        <w:fldChar w:fldCharType="end"/>
      </w:r>
    </w:p>
    <w:p w14:paraId="459B0D2A">
      <w:pPr>
        <w:pStyle w:val="25"/>
        <w:rPr>
          <w:rFonts w:asciiTheme="minorHAnsi" w:hAnsiTheme="minorHAnsi" w:eastAsiaTheme="minorEastAsia" w:cstheme="minorBidi"/>
          <w:szCs w:val="22"/>
        </w:rPr>
      </w:pPr>
      <w:r>
        <w:fldChar w:fldCharType="begin"/>
      </w:r>
      <w:r>
        <w:instrText xml:space="preserve"> HYPERLINK \l "_Toc173007736" </w:instrText>
      </w:r>
      <w:r>
        <w:fldChar w:fldCharType="separate"/>
      </w:r>
      <w:r>
        <w:rPr>
          <w:rStyle w:val="33"/>
        </w:rPr>
        <w:t xml:space="preserve">7.4 </w:t>
      </w:r>
      <w:r>
        <w:rPr>
          <w:rStyle w:val="33"/>
          <w:rFonts w:hint="eastAsia"/>
        </w:rPr>
        <w:t xml:space="preserve"> 充（换）电站</w:t>
      </w:r>
      <w:r>
        <w:tab/>
      </w:r>
      <w:r>
        <w:fldChar w:fldCharType="begin"/>
      </w:r>
      <w:r>
        <w:instrText xml:space="preserve"> PAGEREF _Toc173007736 \h </w:instrText>
      </w:r>
      <w:r>
        <w:fldChar w:fldCharType="separate"/>
      </w:r>
      <w:r>
        <w:t>7</w:t>
      </w:r>
      <w:r>
        <w:fldChar w:fldCharType="end"/>
      </w:r>
      <w:r>
        <w:fldChar w:fldCharType="end"/>
      </w:r>
    </w:p>
    <w:p w14:paraId="7DBE5FA9">
      <w:pPr>
        <w:pStyle w:val="20"/>
        <w:tabs>
          <w:tab w:val="right" w:leader="dot" w:pos="9344"/>
        </w:tabs>
        <w:rPr>
          <w:rFonts w:asciiTheme="minorHAnsi" w:hAnsiTheme="minorHAnsi" w:eastAsiaTheme="minorEastAsia" w:cstheme="minorBidi"/>
          <w:szCs w:val="22"/>
        </w:rPr>
      </w:pPr>
      <w:r>
        <w:fldChar w:fldCharType="begin"/>
      </w:r>
      <w:r>
        <w:instrText xml:space="preserve"> HYPERLINK \l "_Toc173007737" </w:instrText>
      </w:r>
      <w:r>
        <w:fldChar w:fldCharType="separate"/>
      </w:r>
      <w:r>
        <w:rPr>
          <w:rStyle w:val="33"/>
        </w:rPr>
        <w:t xml:space="preserve">8 </w:t>
      </w:r>
      <w:r>
        <w:rPr>
          <w:rStyle w:val="33"/>
          <w:rFonts w:hint="eastAsia"/>
        </w:rPr>
        <w:t xml:space="preserve"> 停放充电场所消防管理</w:t>
      </w:r>
      <w:r>
        <w:tab/>
      </w:r>
      <w:r>
        <w:fldChar w:fldCharType="begin"/>
      </w:r>
      <w:r>
        <w:instrText xml:space="preserve"> PAGEREF _Toc173007737 \h </w:instrText>
      </w:r>
      <w:r>
        <w:fldChar w:fldCharType="separate"/>
      </w:r>
      <w:r>
        <w:t>7</w:t>
      </w:r>
      <w:r>
        <w:fldChar w:fldCharType="end"/>
      </w:r>
      <w:r>
        <w:fldChar w:fldCharType="end"/>
      </w:r>
    </w:p>
    <w:p w14:paraId="23C4C8D3">
      <w:pPr>
        <w:pStyle w:val="25"/>
        <w:rPr>
          <w:rFonts w:asciiTheme="minorHAnsi" w:hAnsiTheme="minorHAnsi" w:eastAsiaTheme="minorEastAsia" w:cstheme="minorBidi"/>
          <w:szCs w:val="22"/>
        </w:rPr>
      </w:pPr>
      <w:r>
        <w:fldChar w:fldCharType="begin"/>
      </w:r>
      <w:r>
        <w:instrText xml:space="preserve"> HYPERLINK \l "_Toc173007738" </w:instrText>
      </w:r>
      <w:r>
        <w:fldChar w:fldCharType="separate"/>
      </w:r>
      <w:r>
        <w:rPr>
          <w:rStyle w:val="33"/>
        </w:rPr>
        <w:t xml:space="preserve">8.1 </w:t>
      </w:r>
      <w:r>
        <w:rPr>
          <w:rStyle w:val="33"/>
          <w:rFonts w:hint="eastAsia"/>
        </w:rPr>
        <w:t xml:space="preserve"> 管理主体</w:t>
      </w:r>
      <w:r>
        <w:tab/>
      </w:r>
      <w:r>
        <w:fldChar w:fldCharType="begin"/>
      </w:r>
      <w:r>
        <w:instrText xml:space="preserve"> PAGEREF _Toc173007738 \h </w:instrText>
      </w:r>
      <w:r>
        <w:fldChar w:fldCharType="separate"/>
      </w:r>
      <w:r>
        <w:t>7</w:t>
      </w:r>
      <w:r>
        <w:fldChar w:fldCharType="end"/>
      </w:r>
      <w:r>
        <w:fldChar w:fldCharType="end"/>
      </w:r>
    </w:p>
    <w:p w14:paraId="0A1D90BF">
      <w:pPr>
        <w:pStyle w:val="25"/>
        <w:rPr>
          <w:rFonts w:asciiTheme="minorHAnsi" w:hAnsiTheme="minorHAnsi" w:eastAsiaTheme="minorEastAsia" w:cstheme="minorBidi"/>
          <w:szCs w:val="22"/>
        </w:rPr>
      </w:pPr>
      <w:r>
        <w:fldChar w:fldCharType="begin"/>
      </w:r>
      <w:r>
        <w:instrText xml:space="preserve"> HYPERLINK \l "_Toc173007739" </w:instrText>
      </w:r>
      <w:r>
        <w:fldChar w:fldCharType="separate"/>
      </w:r>
      <w:r>
        <w:rPr>
          <w:rStyle w:val="33"/>
        </w:rPr>
        <w:t xml:space="preserve">8.2 </w:t>
      </w:r>
      <w:r>
        <w:rPr>
          <w:rStyle w:val="33"/>
          <w:rFonts w:hint="eastAsia"/>
        </w:rPr>
        <w:t xml:space="preserve"> 日常管理责任</w:t>
      </w:r>
      <w:r>
        <w:tab/>
      </w:r>
      <w:r>
        <w:fldChar w:fldCharType="begin"/>
      </w:r>
      <w:r>
        <w:instrText xml:space="preserve"> PAGEREF _Toc173007739 \h </w:instrText>
      </w:r>
      <w:r>
        <w:fldChar w:fldCharType="separate"/>
      </w:r>
      <w:r>
        <w:t>8</w:t>
      </w:r>
      <w:r>
        <w:fldChar w:fldCharType="end"/>
      </w:r>
      <w:r>
        <w:fldChar w:fldCharType="end"/>
      </w:r>
    </w:p>
    <w:p w14:paraId="748620E7">
      <w:pPr>
        <w:pStyle w:val="25"/>
        <w:rPr>
          <w:rFonts w:asciiTheme="minorHAnsi" w:hAnsiTheme="minorHAnsi" w:eastAsiaTheme="minorEastAsia" w:cstheme="minorBidi"/>
          <w:szCs w:val="22"/>
        </w:rPr>
      </w:pPr>
      <w:r>
        <w:fldChar w:fldCharType="begin"/>
      </w:r>
      <w:r>
        <w:instrText xml:space="preserve"> HYPERLINK \l "_Toc173007740" </w:instrText>
      </w:r>
      <w:r>
        <w:fldChar w:fldCharType="separate"/>
      </w:r>
      <w:r>
        <w:rPr>
          <w:rStyle w:val="33"/>
        </w:rPr>
        <w:t xml:space="preserve">8.3 </w:t>
      </w:r>
      <w:r>
        <w:rPr>
          <w:rStyle w:val="33"/>
          <w:rFonts w:hint="eastAsia"/>
        </w:rPr>
        <w:t xml:space="preserve"> 消防设施器材管理</w:t>
      </w:r>
      <w:r>
        <w:tab/>
      </w:r>
      <w:r>
        <w:fldChar w:fldCharType="begin"/>
      </w:r>
      <w:r>
        <w:instrText xml:space="preserve"> PAGEREF _Toc173007740 \h </w:instrText>
      </w:r>
      <w:r>
        <w:fldChar w:fldCharType="separate"/>
      </w:r>
      <w:r>
        <w:t>8</w:t>
      </w:r>
      <w:r>
        <w:fldChar w:fldCharType="end"/>
      </w:r>
      <w:r>
        <w:fldChar w:fldCharType="end"/>
      </w:r>
    </w:p>
    <w:p w14:paraId="1F2C3E68">
      <w:pPr>
        <w:pStyle w:val="25"/>
        <w:rPr>
          <w:rFonts w:asciiTheme="minorHAnsi" w:hAnsiTheme="minorHAnsi" w:eastAsiaTheme="minorEastAsia" w:cstheme="minorBidi"/>
          <w:szCs w:val="22"/>
        </w:rPr>
      </w:pPr>
      <w:r>
        <w:fldChar w:fldCharType="begin"/>
      </w:r>
      <w:r>
        <w:instrText xml:space="preserve"> HYPERLINK \l "_Toc173007741" </w:instrText>
      </w:r>
      <w:r>
        <w:fldChar w:fldCharType="separate"/>
      </w:r>
      <w:r>
        <w:rPr>
          <w:rStyle w:val="33"/>
        </w:rPr>
        <w:t xml:space="preserve">8.4 </w:t>
      </w:r>
      <w:r>
        <w:rPr>
          <w:rStyle w:val="33"/>
          <w:rFonts w:hint="eastAsia"/>
        </w:rPr>
        <w:t xml:space="preserve"> 停放充电管理</w:t>
      </w:r>
      <w:r>
        <w:tab/>
      </w:r>
      <w:r>
        <w:fldChar w:fldCharType="begin"/>
      </w:r>
      <w:r>
        <w:instrText xml:space="preserve"> PAGEREF _Toc173007741 \h </w:instrText>
      </w:r>
      <w:r>
        <w:fldChar w:fldCharType="separate"/>
      </w:r>
      <w:r>
        <w:t>8</w:t>
      </w:r>
      <w:r>
        <w:fldChar w:fldCharType="end"/>
      </w:r>
      <w:r>
        <w:fldChar w:fldCharType="end"/>
      </w:r>
    </w:p>
    <w:p w14:paraId="5A92F45C">
      <w:pPr>
        <w:pStyle w:val="20"/>
        <w:tabs>
          <w:tab w:val="right" w:leader="dot" w:pos="9344"/>
        </w:tabs>
        <w:rPr>
          <w:rFonts w:asciiTheme="minorHAnsi" w:hAnsiTheme="minorHAnsi" w:eastAsiaTheme="minorEastAsia" w:cstheme="minorBidi"/>
          <w:szCs w:val="22"/>
        </w:rPr>
      </w:pPr>
      <w:r>
        <w:fldChar w:fldCharType="begin"/>
      </w:r>
      <w:r>
        <w:instrText xml:space="preserve"> HYPERLINK \l "_Toc173007742" </w:instrText>
      </w:r>
      <w:r>
        <w:fldChar w:fldCharType="separate"/>
      </w:r>
      <w:r>
        <w:rPr>
          <w:rStyle w:val="33"/>
          <w:rFonts w:hint="eastAsia" w:hAnsi="黑体" w:cs="黑体"/>
        </w:rPr>
        <w:t>参考文献</w:t>
      </w:r>
      <w:r>
        <w:tab/>
      </w:r>
      <w:r>
        <w:fldChar w:fldCharType="begin"/>
      </w:r>
      <w:r>
        <w:instrText xml:space="preserve"> PAGEREF _Toc173007742 \h </w:instrText>
      </w:r>
      <w:r>
        <w:fldChar w:fldCharType="separate"/>
      </w:r>
      <w:r>
        <w:t>1</w:t>
      </w:r>
      <w:r>
        <w:fldChar w:fldCharType="end"/>
      </w:r>
      <w:r>
        <w:fldChar w:fldCharType="end"/>
      </w:r>
    </w:p>
    <w:p w14:paraId="0CF02756">
      <w:pPr>
        <w:pStyle w:val="92"/>
        <w:spacing w:after="468"/>
        <w:sectPr>
          <w:headerReference r:id="rId11" w:type="default"/>
          <w:footerReference r:id="rId13" w:type="default"/>
          <w:headerReference r:id="rId12" w:type="even"/>
          <w:pgSz w:w="11906" w:h="16838"/>
          <w:pgMar w:top="2410" w:right="1134" w:bottom="1134" w:left="1134" w:header="1418" w:footer="1134" w:gutter="284"/>
          <w:pgNumType w:fmt="upperRoman" w:start="1"/>
          <w:cols w:space="425" w:num="1"/>
          <w:formProt w:val="0"/>
          <w:docGrid w:type="lines" w:linePitch="312" w:charSpace="0"/>
        </w:sectPr>
      </w:pPr>
      <w:r>
        <w:fldChar w:fldCharType="end"/>
      </w:r>
    </w:p>
    <w:bookmarkEnd w:id="21"/>
    <w:p w14:paraId="5DDE40CF">
      <w:pPr>
        <w:pStyle w:val="90"/>
        <w:spacing w:after="468"/>
      </w:pPr>
      <w:bookmarkStart w:id="22" w:name="_Toc173007720"/>
      <w:bookmarkStart w:id="23" w:name="BookMark2"/>
      <w:r>
        <w:rPr>
          <w:spacing w:val="320"/>
        </w:rPr>
        <w:t>前</w:t>
      </w:r>
      <w:r>
        <w:t>言</w:t>
      </w:r>
      <w:bookmarkEnd w:id="22"/>
    </w:p>
    <w:p w14:paraId="3BC8DDD3">
      <w:pPr>
        <w:pStyle w:val="57"/>
        <w:ind w:firstLine="420"/>
      </w:pPr>
      <w:r>
        <w:rPr>
          <w:rFonts w:hint="eastAsia"/>
        </w:rPr>
        <w:t>本文件按照GB/T 1.1—2020《标准化工作导则  第1部分：标准化文件的结构和起草规则》的规定起草。</w:t>
      </w:r>
    </w:p>
    <w:p w14:paraId="7A396575">
      <w:pPr>
        <w:pStyle w:val="233"/>
        <w:wordWrap w:val="0"/>
        <w:jc w:val="both"/>
      </w:pPr>
      <w:r>
        <w:rPr>
          <w:rFonts w:hint="eastAsia" w:hAnsi="宋体" w:cs="宋体"/>
          <w:szCs w:val="21"/>
        </w:rPr>
        <w:t>请注意本文件的某些内容可能涉及专利。本文件的发布机构不承担识别专利的责任。</w:t>
      </w:r>
    </w:p>
    <w:p w14:paraId="5B569E91">
      <w:pPr>
        <w:pStyle w:val="233"/>
        <w:wordWrap w:val="0"/>
        <w:jc w:val="both"/>
      </w:pPr>
      <w:r>
        <w:rPr>
          <w:rFonts w:hint="eastAsia" w:hAnsi="宋体" w:cs="宋体"/>
          <w:szCs w:val="21"/>
        </w:rPr>
        <w:t>本文件由南通市消防救援支队提出并归口 。</w:t>
      </w:r>
    </w:p>
    <w:p w14:paraId="2350EA3B">
      <w:pPr>
        <w:pStyle w:val="233"/>
        <w:wordWrap w:val="0"/>
        <w:jc w:val="both"/>
      </w:pPr>
      <w:r>
        <w:rPr>
          <w:rFonts w:hint="eastAsia" w:hAnsi="宋体" w:cs="宋体"/>
          <w:szCs w:val="21"/>
        </w:rPr>
        <w:t>本文件起草单位：南通市消防救援支队。</w:t>
      </w:r>
    </w:p>
    <w:p w14:paraId="135BB3A5">
      <w:pPr>
        <w:pStyle w:val="233"/>
        <w:wordWrap w:val="0"/>
        <w:jc w:val="both"/>
      </w:pPr>
      <w:r>
        <w:rPr>
          <w:rFonts w:hint="eastAsia" w:hAnsi="宋体" w:cs="宋体"/>
          <w:szCs w:val="21"/>
        </w:rPr>
        <w:t>本文件主要起草人： XXXX 。</w:t>
      </w:r>
    </w:p>
    <w:p w14:paraId="22690FEF">
      <w:pPr>
        <w:pStyle w:val="57"/>
        <w:ind w:firstLine="420"/>
      </w:pPr>
      <w:r>
        <w:rPr>
          <w:rFonts w:hint="eastAsia" w:hAnsi="宋体" w:cs="宋体"/>
          <w:szCs w:val="21"/>
        </w:rPr>
        <w:t>本文件为首次发布。</w:t>
      </w:r>
    </w:p>
    <w:p w14:paraId="7127AEBD">
      <w:pPr>
        <w:pStyle w:val="57"/>
        <w:ind w:firstLine="420"/>
      </w:pPr>
    </w:p>
    <w:p w14:paraId="45480A70">
      <w:pPr>
        <w:pStyle w:val="57"/>
        <w:ind w:firstLine="420"/>
        <w:sectPr>
          <w:pgSz w:w="11906" w:h="16838"/>
          <w:pgMar w:top="2410" w:right="1134" w:bottom="1134" w:left="1134" w:header="1418" w:footer="1134" w:gutter="284"/>
          <w:pgNumType w:fmt="upperRoman"/>
          <w:cols w:space="425" w:num="1"/>
          <w:formProt w:val="0"/>
          <w:docGrid w:type="lines" w:linePitch="312" w:charSpace="0"/>
        </w:sectPr>
      </w:pPr>
    </w:p>
    <w:bookmarkEnd w:id="23"/>
    <w:p w14:paraId="5B83AAE7">
      <w:pPr>
        <w:spacing w:line="20" w:lineRule="exact"/>
        <w:jc w:val="center"/>
        <w:rPr>
          <w:rFonts w:ascii="黑体" w:hAnsi="黑体" w:eastAsia="黑体"/>
          <w:sz w:val="32"/>
          <w:szCs w:val="32"/>
        </w:rPr>
      </w:pPr>
      <w:bookmarkStart w:id="24" w:name="BookMark4"/>
    </w:p>
    <w:p w14:paraId="2D577C91">
      <w:pPr>
        <w:spacing w:line="20" w:lineRule="exact"/>
        <w:jc w:val="center"/>
        <w:rPr>
          <w:rFonts w:ascii="黑体" w:hAnsi="黑体" w:eastAsia="黑体"/>
          <w:sz w:val="32"/>
          <w:szCs w:val="32"/>
        </w:rPr>
      </w:pPr>
    </w:p>
    <w:sdt>
      <w:sdtPr>
        <w:tag w:val="NEW_STAND_NAME"/>
        <w:id w:val="595910757"/>
        <w:lock w:val="sdtLocked"/>
        <w:placeholder>
          <w:docPart w:val="1E3E704C0ED74CAE99CA745262FCC735"/>
        </w:placeholder>
      </w:sdtPr>
      <w:sdtContent>
        <w:p w14:paraId="38BB4BF6">
          <w:pPr>
            <w:pStyle w:val="178"/>
            <w:spacing w:beforeLines="100" w:afterLines="220"/>
          </w:pPr>
          <w:bookmarkStart w:id="25" w:name="NEW_STAND_NAME"/>
          <w:r>
            <w:rPr>
              <w:rFonts w:hint="eastAsia"/>
            </w:rPr>
            <w:t>电动自行车消防安全管理规范</w:t>
          </w:r>
        </w:p>
      </w:sdtContent>
    </w:sdt>
    <w:bookmarkEnd w:id="25"/>
    <w:p w14:paraId="75E0BB00">
      <w:pPr>
        <w:pStyle w:val="105"/>
        <w:spacing w:before="312" w:after="312"/>
      </w:pPr>
      <w:bookmarkStart w:id="26" w:name="_Toc17233325"/>
      <w:bookmarkStart w:id="27" w:name="_Toc17233333"/>
      <w:bookmarkStart w:id="28" w:name="_Toc24884211"/>
      <w:bookmarkStart w:id="29" w:name="_Toc24884218"/>
      <w:bookmarkStart w:id="30" w:name="_Toc26648465"/>
      <w:bookmarkStart w:id="31" w:name="_Toc26718930"/>
      <w:bookmarkStart w:id="32" w:name="_Toc26986530"/>
      <w:bookmarkStart w:id="33" w:name="_Toc26986771"/>
      <w:bookmarkStart w:id="34" w:name="_Toc173007721"/>
      <w:r>
        <w:rPr>
          <w:rFonts w:hint="eastAsia"/>
        </w:rPr>
        <w:t>范围</w:t>
      </w:r>
      <w:bookmarkEnd w:id="26"/>
      <w:bookmarkEnd w:id="27"/>
      <w:bookmarkEnd w:id="28"/>
      <w:bookmarkEnd w:id="29"/>
      <w:bookmarkEnd w:id="30"/>
      <w:bookmarkEnd w:id="31"/>
      <w:bookmarkEnd w:id="32"/>
      <w:bookmarkEnd w:id="33"/>
      <w:bookmarkEnd w:id="34"/>
    </w:p>
    <w:p w14:paraId="0AE2A258">
      <w:pPr>
        <w:pStyle w:val="57"/>
        <w:ind w:firstLine="420"/>
      </w:pPr>
      <w:bookmarkStart w:id="35" w:name="_Toc17233326"/>
      <w:bookmarkStart w:id="36" w:name="_Toc17233334"/>
      <w:bookmarkStart w:id="37" w:name="_Toc24884212"/>
      <w:bookmarkStart w:id="38" w:name="_Toc24884219"/>
      <w:bookmarkStart w:id="39" w:name="_Toc26648466"/>
      <w:r>
        <w:rPr>
          <w:rFonts w:hint="eastAsia"/>
        </w:rPr>
        <w:t>本文件规定了电动自行车消防安全管理总则、电动自行车使用人的管理、销售维修售后服务单位的管理、停放充电场所设置和停放充电场所消防管理。</w:t>
      </w:r>
    </w:p>
    <w:p w14:paraId="09916179">
      <w:pPr>
        <w:pStyle w:val="57"/>
        <w:ind w:firstLine="420"/>
      </w:pPr>
      <w:r>
        <w:rPr>
          <w:rFonts w:hint="eastAsia"/>
        </w:rPr>
        <w:t>本文件适用于电动自行车使用人、销售维修售后服务单位及电动自行车停放充电场所管理单位消防安全管理。电动摩托车、电动轻便摩托车和电动三轮车相关消防安全管理可参照执行。</w:t>
      </w:r>
    </w:p>
    <w:p w14:paraId="39E3E655">
      <w:pPr>
        <w:pStyle w:val="105"/>
        <w:spacing w:before="312" w:after="312"/>
      </w:pPr>
      <w:bookmarkStart w:id="40" w:name="_Toc26718931"/>
      <w:bookmarkStart w:id="41" w:name="_Toc26986531"/>
      <w:bookmarkStart w:id="42" w:name="_Toc26986772"/>
      <w:bookmarkStart w:id="43" w:name="_Toc173007722"/>
      <w:r>
        <w:rPr>
          <w:rFonts w:hint="eastAsia"/>
        </w:rPr>
        <w:t>规范性引用文件</w:t>
      </w:r>
      <w:bookmarkEnd w:id="35"/>
      <w:bookmarkEnd w:id="36"/>
      <w:bookmarkEnd w:id="37"/>
      <w:bookmarkEnd w:id="38"/>
      <w:bookmarkEnd w:id="39"/>
      <w:bookmarkEnd w:id="40"/>
      <w:bookmarkEnd w:id="41"/>
      <w:bookmarkEnd w:id="42"/>
      <w:bookmarkEnd w:id="43"/>
    </w:p>
    <w:sdt>
      <w:sdtPr>
        <w:rPr>
          <w:rFonts w:hint="eastAsia"/>
        </w:rPr>
        <w:id w:val="715848253"/>
        <w:placeholder>
          <w:docPart w:val="0436B3334A884D24A5EE9B3462F3856B"/>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1F5CC192">
          <w:pPr>
            <w:pStyle w:val="57"/>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7A5AEE8">
      <w:pPr>
        <w:pStyle w:val="233"/>
        <w:wordWrap w:val="0"/>
        <w:jc w:val="both"/>
      </w:pPr>
      <w:r>
        <w:rPr>
          <w:rFonts w:hint="eastAsia" w:hAnsi="宋体" w:cs="宋体"/>
          <w:szCs w:val="21"/>
        </w:rPr>
        <w:t>GB 17761  电动自行车安全技术规范</w:t>
      </w:r>
    </w:p>
    <w:p w14:paraId="47110482">
      <w:pPr>
        <w:pStyle w:val="233"/>
        <w:wordWrap w:val="0"/>
        <w:jc w:val="both"/>
      </w:pPr>
      <w:r>
        <w:rPr>
          <w:rFonts w:hint="eastAsia" w:hAnsi="宋体" w:cs="宋体"/>
          <w:szCs w:val="21"/>
        </w:rPr>
        <w:t>GB 25201  建筑消防设施的维护管理</w:t>
      </w:r>
    </w:p>
    <w:p w14:paraId="7E207AD2">
      <w:pPr>
        <w:pStyle w:val="233"/>
        <w:wordWrap w:val="0"/>
        <w:jc w:val="both"/>
      </w:pPr>
      <w:r>
        <w:rPr>
          <w:rFonts w:hint="eastAsia" w:hAnsi="宋体" w:cs="宋体"/>
          <w:szCs w:val="21"/>
        </w:rPr>
        <w:t>GB/T 42236.1  电动自行车集中充电设施第1部分：技术规范</w:t>
      </w:r>
    </w:p>
    <w:p w14:paraId="758B224F">
      <w:pPr>
        <w:pStyle w:val="233"/>
        <w:wordWrap w:val="0"/>
        <w:jc w:val="both"/>
      </w:pPr>
      <w:r>
        <w:rPr>
          <w:rFonts w:hint="eastAsia" w:hAnsi="宋体" w:cs="宋体"/>
          <w:szCs w:val="21"/>
        </w:rPr>
        <w:t>GB 50016  建筑设计防火规范</w:t>
      </w:r>
    </w:p>
    <w:p w14:paraId="14AC9911">
      <w:pPr>
        <w:pStyle w:val="233"/>
        <w:wordWrap w:val="0"/>
        <w:jc w:val="both"/>
      </w:pPr>
      <w:r>
        <w:rPr>
          <w:rFonts w:hint="eastAsia" w:hAnsi="宋体" w:cs="宋体"/>
          <w:szCs w:val="21"/>
        </w:rPr>
        <w:t>GB 50067  汽车库、修车库、停车场设计防火规范</w:t>
      </w:r>
    </w:p>
    <w:p w14:paraId="7FCAB624">
      <w:pPr>
        <w:pStyle w:val="233"/>
        <w:wordWrap w:val="0"/>
        <w:jc w:val="both"/>
      </w:pPr>
      <w:r>
        <w:rPr>
          <w:rFonts w:hint="eastAsia" w:hAnsi="宋体" w:cs="宋体"/>
          <w:szCs w:val="21"/>
        </w:rPr>
        <w:t>GB 50084  自动喷水灭火系统设计规范</w:t>
      </w:r>
    </w:p>
    <w:p w14:paraId="37CE1BE5">
      <w:pPr>
        <w:pStyle w:val="233"/>
        <w:wordWrap w:val="0"/>
        <w:jc w:val="both"/>
      </w:pPr>
      <w:r>
        <w:rPr>
          <w:rFonts w:hint="eastAsia" w:hAnsi="宋体" w:cs="宋体"/>
          <w:szCs w:val="21"/>
        </w:rPr>
        <w:t>GB 50116  火灾自动报警系统设计规范</w:t>
      </w:r>
    </w:p>
    <w:p w14:paraId="2B06A1EE">
      <w:pPr>
        <w:pStyle w:val="233"/>
        <w:wordWrap w:val="0"/>
        <w:jc w:val="both"/>
      </w:pPr>
      <w:r>
        <w:rPr>
          <w:rFonts w:hint="eastAsia" w:hAnsi="宋体" w:cs="宋体"/>
          <w:szCs w:val="21"/>
        </w:rPr>
        <w:t>GB 51251  建筑防烟排烟系统技术标准</w:t>
      </w:r>
    </w:p>
    <w:p w14:paraId="4270D8E1">
      <w:pPr>
        <w:pStyle w:val="233"/>
        <w:wordWrap w:val="0"/>
        <w:jc w:val="both"/>
      </w:pPr>
      <w:r>
        <w:rPr>
          <w:rFonts w:hint="eastAsia" w:hAnsi="宋体" w:cs="宋体"/>
          <w:szCs w:val="21"/>
        </w:rPr>
        <w:t>GB 51309  消防应急照明和疏散指示系统技术标准</w:t>
      </w:r>
    </w:p>
    <w:p w14:paraId="3CF7F6DC">
      <w:pPr>
        <w:pStyle w:val="233"/>
        <w:wordWrap w:val="0"/>
        <w:jc w:val="both"/>
      </w:pPr>
      <w:r>
        <w:rPr>
          <w:rFonts w:hint="eastAsia" w:hAnsi="宋体" w:cs="宋体"/>
          <w:szCs w:val="21"/>
        </w:rPr>
        <w:t>GB 55036  消防设施通用规范</w:t>
      </w:r>
    </w:p>
    <w:p w14:paraId="5F032C44">
      <w:pPr>
        <w:pStyle w:val="233"/>
        <w:wordWrap w:val="0"/>
        <w:jc w:val="both"/>
      </w:pPr>
      <w:r>
        <w:rPr>
          <w:rFonts w:hint="eastAsia" w:hAnsi="宋体" w:cs="宋体"/>
          <w:szCs w:val="21"/>
        </w:rPr>
        <w:t>GB 55037  建筑防火通用规范</w:t>
      </w:r>
    </w:p>
    <w:p w14:paraId="51B4C92B">
      <w:pPr>
        <w:pStyle w:val="233"/>
        <w:wordWrap w:val="0"/>
        <w:jc w:val="both"/>
      </w:pPr>
      <w:r>
        <w:rPr>
          <w:rFonts w:hint="eastAsia" w:hAnsi="宋体" w:cs="宋体"/>
          <w:szCs w:val="21"/>
        </w:rPr>
        <w:t>DB32/T 4696  建筑消防设施维护保养规程</w:t>
      </w:r>
    </w:p>
    <w:p w14:paraId="51335E9A">
      <w:pPr>
        <w:pStyle w:val="233"/>
        <w:wordWrap w:val="0"/>
        <w:jc w:val="both"/>
      </w:pPr>
      <w:r>
        <w:rPr>
          <w:rFonts w:hint="eastAsia" w:hAnsi="宋体" w:cs="宋体"/>
          <w:szCs w:val="21"/>
        </w:rPr>
        <w:t>DB32/T 3904-2020  电动自行车停放充电场所消防技术规范</w:t>
      </w:r>
    </w:p>
    <w:p w14:paraId="6369833D">
      <w:pPr>
        <w:pStyle w:val="105"/>
        <w:spacing w:before="312" w:after="312"/>
      </w:pPr>
      <w:bookmarkStart w:id="44" w:name="_Toc173007723"/>
      <w:r>
        <w:rPr>
          <w:rFonts w:hint="eastAsia"/>
          <w:szCs w:val="21"/>
        </w:rPr>
        <w:t>术语和定义</w:t>
      </w:r>
      <w:bookmarkEnd w:id="44"/>
    </w:p>
    <w:sdt>
      <w:sdtPr>
        <w:id w:val="-1909835108"/>
        <w:placeholder>
          <w:docPart w:val="5F9C6D1E1B1B407C83D9DA035EE5A96A"/>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4A42AF94">
          <w:pPr>
            <w:pStyle w:val="57"/>
            <w:ind w:firstLine="420"/>
          </w:pPr>
          <w:bookmarkStart w:id="45" w:name="_Toc26986532"/>
          <w:bookmarkEnd w:id="45"/>
          <w:r>
            <w:t>下列术语和定义适用于本文件。</w:t>
          </w:r>
        </w:p>
      </w:sdtContent>
    </w:sdt>
    <w:p w14:paraId="07510984">
      <w:pPr>
        <w:pStyle w:val="163"/>
      </w:pPr>
    </w:p>
    <w:p w14:paraId="5D401CD3">
      <w:pPr>
        <w:pStyle w:val="233"/>
        <w:wordWrap w:val="0"/>
        <w:jc w:val="both"/>
      </w:pPr>
      <w:r>
        <w:rPr>
          <w:rFonts w:hint="eastAsia" w:ascii="黑体" w:hAnsi="黑体" w:eastAsia="黑体" w:cs="黑体"/>
          <w:szCs w:val="21"/>
        </w:rPr>
        <w:t>电动自行车停放充电场所</w:t>
      </w:r>
      <w:r>
        <w:rPr>
          <w:rFonts w:hint="eastAsia" w:ascii="Times New Roman" w:eastAsia="Times New Roman"/>
          <w:szCs w:val="21"/>
        </w:rPr>
        <w:t>  e</w:t>
      </w:r>
      <w:r>
        <w:rPr>
          <w:rFonts w:ascii="Times New Roman" w:eastAsia="Times New Roman"/>
          <w:szCs w:val="21"/>
        </w:rPr>
        <w:t>lectric-bicycle charging parking area</w:t>
      </w:r>
    </w:p>
    <w:p w14:paraId="2BD0EFBA">
      <w:pPr>
        <w:pStyle w:val="233"/>
        <w:wordWrap w:val="0"/>
        <w:jc w:val="both"/>
      </w:pPr>
      <w:r>
        <w:rPr>
          <w:rFonts w:hint="eastAsia" w:hAnsi="宋体" w:cs="宋体"/>
          <w:szCs w:val="21"/>
        </w:rPr>
        <w:t>为电动自行车提供停放、充电或同时具备两种使用功能的场所。</w:t>
      </w:r>
    </w:p>
    <w:p w14:paraId="6FEC26F9">
      <w:pPr>
        <w:pStyle w:val="180"/>
      </w:pPr>
      <w:r>
        <w:rPr>
          <w:rFonts w:hint="eastAsia"/>
        </w:rPr>
        <w:t>包括电动自行车停车场和电动自行车库。</w:t>
      </w:r>
    </w:p>
    <w:p w14:paraId="154BF69C">
      <w:pPr>
        <w:pStyle w:val="163"/>
      </w:pPr>
      <w:bookmarkStart w:id="46" w:name="_Toce8d82637-ea70-475b-9fb4-ed252c28c14d"/>
      <w:bookmarkEnd w:id="46"/>
    </w:p>
    <w:p w14:paraId="645FD962">
      <w:pPr>
        <w:pStyle w:val="233"/>
        <w:wordWrap w:val="0"/>
        <w:jc w:val="both"/>
      </w:pPr>
      <w:r>
        <w:rPr>
          <w:rFonts w:hint="eastAsia" w:ascii="黑体" w:hAnsi="黑体" w:eastAsia="黑体" w:cs="黑体"/>
          <w:szCs w:val="21"/>
        </w:rPr>
        <w:t>电动自行车停车场</w:t>
      </w:r>
      <w:r>
        <w:rPr>
          <w:rFonts w:hint="eastAsia" w:ascii="Times New Roman" w:eastAsia="Times New Roman"/>
          <w:szCs w:val="21"/>
        </w:rPr>
        <w:t xml:space="preserve">  electric bicycle parking </w:t>
      </w:r>
      <w:r>
        <w:rPr>
          <w:rFonts w:ascii="Times New Roman" w:eastAsia="Times New Roman"/>
          <w:szCs w:val="21"/>
        </w:rPr>
        <w:t>yard</w:t>
      </w:r>
      <w:r>
        <w:rPr>
          <w:rFonts w:hint="eastAsia" w:ascii="Times New Roman" w:eastAsia="Times New Roman"/>
          <w:szCs w:val="21"/>
        </w:rPr>
        <w:t>/</w:t>
      </w:r>
      <w:r>
        <w:rPr>
          <w:rFonts w:ascii="Times New Roman" w:eastAsia="Times New Roman"/>
          <w:szCs w:val="21"/>
        </w:rPr>
        <w:t>shed</w:t>
      </w:r>
    </w:p>
    <w:p w14:paraId="7D11F736">
      <w:pPr>
        <w:pStyle w:val="233"/>
        <w:wordWrap w:val="0"/>
        <w:jc w:val="both"/>
      </w:pPr>
      <w:r>
        <w:rPr>
          <w:rFonts w:hint="eastAsia" w:hAnsi="宋体" w:cs="宋体"/>
          <w:szCs w:val="21"/>
        </w:rPr>
        <w:t>用于电动自行车停放或充电的室外场地或构筑物。</w:t>
      </w:r>
    </w:p>
    <w:p w14:paraId="7E34147E">
      <w:pPr>
        <w:pStyle w:val="163"/>
      </w:pPr>
      <w:bookmarkStart w:id="47" w:name="_Tocd4c285d1-cfa6-47fb-8922-a9190cee4697"/>
      <w:bookmarkEnd w:id="47"/>
    </w:p>
    <w:p w14:paraId="1CA7D1B5">
      <w:pPr>
        <w:pStyle w:val="233"/>
        <w:wordWrap w:val="0"/>
        <w:jc w:val="both"/>
      </w:pPr>
      <w:r>
        <w:rPr>
          <w:rFonts w:hint="eastAsia" w:ascii="黑体" w:hAnsi="黑体" w:eastAsia="黑体" w:cs="黑体"/>
          <w:szCs w:val="21"/>
        </w:rPr>
        <w:t>电动自行车库</w:t>
      </w:r>
      <w:r>
        <w:rPr>
          <w:rFonts w:hint="eastAsia" w:ascii="Times New Roman" w:eastAsia="Times New Roman"/>
          <w:szCs w:val="21"/>
        </w:rPr>
        <w:t>  electric bicycle garage</w:t>
      </w:r>
    </w:p>
    <w:p w14:paraId="36C982E1">
      <w:pPr>
        <w:pStyle w:val="233"/>
        <w:wordWrap w:val="0"/>
        <w:jc w:val="both"/>
      </w:pPr>
      <w:r>
        <w:rPr>
          <w:rFonts w:hint="eastAsia" w:hAnsi="宋体" w:cs="宋体"/>
          <w:szCs w:val="21"/>
        </w:rPr>
        <w:t>设置在建筑物内用于电动自行车停放或充电的场所。</w:t>
      </w:r>
    </w:p>
    <w:p w14:paraId="2DCB40A8">
      <w:pPr>
        <w:pStyle w:val="163"/>
      </w:pPr>
      <w:bookmarkStart w:id="48" w:name="_Toc97f3745a-0d34-40d3-a3b8-1b39af373d6e"/>
      <w:bookmarkEnd w:id="48"/>
    </w:p>
    <w:p w14:paraId="05B6FDFE">
      <w:pPr>
        <w:pStyle w:val="233"/>
        <w:wordWrap w:val="0"/>
        <w:jc w:val="both"/>
      </w:pPr>
      <w:r>
        <w:rPr>
          <w:rFonts w:hint="eastAsia" w:ascii="黑体" w:hAnsi="黑体" w:eastAsia="黑体" w:cs="黑体"/>
          <w:szCs w:val="21"/>
        </w:rPr>
        <w:t>充电设施</w:t>
      </w:r>
      <w:r>
        <w:rPr>
          <w:rFonts w:hint="eastAsia" w:ascii="Times New Roman" w:eastAsia="Times New Roman"/>
          <w:szCs w:val="21"/>
        </w:rPr>
        <w:t>  </w:t>
      </w:r>
      <w:r>
        <w:rPr>
          <w:rFonts w:ascii="Times New Roman" w:eastAsia="Times New Roman"/>
          <w:szCs w:val="21"/>
        </w:rPr>
        <w:t>charging facilities</w:t>
      </w:r>
    </w:p>
    <w:p w14:paraId="122EC571">
      <w:pPr>
        <w:pStyle w:val="233"/>
        <w:wordWrap w:val="0"/>
        <w:jc w:val="both"/>
      </w:pPr>
      <w:r>
        <w:rPr>
          <w:rFonts w:hint="eastAsia" w:hAnsi="宋体" w:cs="宋体"/>
          <w:szCs w:val="21"/>
        </w:rPr>
        <w:t>为电动自行车或蓄电池组集中提供电能的相关设施的总称。</w:t>
      </w:r>
    </w:p>
    <w:p w14:paraId="5D0925D9">
      <w:pPr>
        <w:pStyle w:val="180"/>
      </w:pPr>
      <w:r>
        <w:rPr>
          <w:rFonts w:hint="eastAsia"/>
        </w:rPr>
        <w:t>包括交流充电控制器、充电柜、换电柜和充电插座等。</w:t>
      </w:r>
    </w:p>
    <w:p w14:paraId="55B287DE">
      <w:pPr>
        <w:pStyle w:val="163"/>
      </w:pPr>
      <w:bookmarkStart w:id="49" w:name="_Toce9af598c-9acb-41c7-b773-0a75a5de6f0f"/>
      <w:bookmarkEnd w:id="49"/>
    </w:p>
    <w:p w14:paraId="69478227">
      <w:pPr>
        <w:pStyle w:val="233"/>
        <w:wordWrap w:val="0"/>
        <w:jc w:val="both"/>
      </w:pPr>
      <w:r>
        <w:rPr>
          <w:rFonts w:hint="eastAsia" w:ascii="黑体" w:hAnsi="黑体" w:eastAsia="黑体" w:cs="黑体"/>
          <w:szCs w:val="21"/>
        </w:rPr>
        <w:t>换电柜</w:t>
      </w:r>
      <w:r>
        <w:rPr>
          <w:rFonts w:hint="eastAsia" w:ascii="Times New Roman" w:eastAsia="Times New Roman"/>
          <w:szCs w:val="21"/>
        </w:rPr>
        <w:t>  battery swap cabinet</w:t>
      </w:r>
    </w:p>
    <w:p w14:paraId="4FC7001E">
      <w:pPr>
        <w:pStyle w:val="233"/>
        <w:wordWrap w:val="0"/>
        <w:jc w:val="both"/>
      </w:pPr>
      <w:r>
        <w:rPr>
          <w:rFonts w:hint="eastAsia" w:hAnsi="宋体" w:cs="宋体"/>
          <w:szCs w:val="21"/>
        </w:rPr>
        <w:t>采用柜体结构，将交流电转换为直流电，具有为多个电动自行车用锂离子蓄电池组进行充电，能实现蓄电池组租赁和交换的设备。</w:t>
      </w:r>
    </w:p>
    <w:p w14:paraId="4AD0B8C9">
      <w:pPr>
        <w:pStyle w:val="233"/>
        <w:wordWrap w:val="0"/>
        <w:jc w:val="both"/>
      </w:pPr>
      <w:r>
        <w:rPr>
          <w:rFonts w:hint="eastAsia" w:hAnsi="宋体" w:cs="宋体"/>
          <w:szCs w:val="21"/>
        </w:rPr>
        <w:t>[来源：GB/T 42236.1-2022，3.6]</w:t>
      </w:r>
    </w:p>
    <w:p w14:paraId="47455A28">
      <w:pPr>
        <w:pStyle w:val="163"/>
      </w:pPr>
      <w:bookmarkStart w:id="50" w:name="_Toc585a5768-780c-4f50-9270-5aa0653dfd9f"/>
      <w:bookmarkEnd w:id="50"/>
    </w:p>
    <w:p w14:paraId="7E2EAD5B">
      <w:pPr>
        <w:pStyle w:val="233"/>
        <w:wordWrap w:val="0"/>
        <w:jc w:val="both"/>
      </w:pPr>
      <w:r>
        <w:rPr>
          <w:rFonts w:hint="eastAsia" w:ascii="黑体" w:hAnsi="黑体" w:eastAsia="黑体" w:cs="黑体"/>
          <w:szCs w:val="21"/>
        </w:rPr>
        <w:t>充电柜</w:t>
      </w:r>
      <w:r>
        <w:rPr>
          <w:rFonts w:hint="eastAsia" w:ascii="Times New Roman" w:eastAsia="Times New Roman"/>
          <w:szCs w:val="21"/>
        </w:rPr>
        <w:t>  charging cabinet</w:t>
      </w:r>
    </w:p>
    <w:p w14:paraId="4501F95B">
      <w:pPr>
        <w:pStyle w:val="233"/>
        <w:wordWrap w:val="0"/>
        <w:jc w:val="both"/>
      </w:pPr>
      <w:r>
        <w:rPr>
          <w:rFonts w:hint="eastAsia" w:hAnsi="宋体" w:cs="宋体"/>
          <w:szCs w:val="21"/>
        </w:rPr>
        <w:t>采用柜体结构，通过充电控制器，提供多路220V交流电，为多个电动自行车用蓄电池组进行充电的设备。</w:t>
      </w:r>
    </w:p>
    <w:p w14:paraId="1533F593">
      <w:pPr>
        <w:pStyle w:val="233"/>
        <w:wordWrap w:val="0"/>
        <w:jc w:val="both"/>
      </w:pPr>
      <w:r>
        <w:rPr>
          <w:rFonts w:hint="eastAsia" w:hAnsi="宋体" w:cs="宋体"/>
          <w:szCs w:val="21"/>
        </w:rPr>
        <w:t>[来源：GB/T 42236.1-2022，3.7]</w:t>
      </w:r>
    </w:p>
    <w:p w14:paraId="4A3C0BC0">
      <w:pPr>
        <w:pStyle w:val="163"/>
      </w:pPr>
      <w:bookmarkStart w:id="51" w:name="_Toc0ee058d1-79fa-4c17-a346-65d3aeba86f8"/>
      <w:bookmarkEnd w:id="51"/>
    </w:p>
    <w:p w14:paraId="1793C6C4">
      <w:pPr>
        <w:pStyle w:val="233"/>
        <w:wordWrap w:val="0"/>
        <w:jc w:val="both"/>
        <w:rPr>
          <w:rFonts w:eastAsiaTheme="minorEastAsia"/>
          <w:color w:val="FF0000"/>
        </w:rPr>
      </w:pPr>
      <w:r>
        <w:rPr>
          <w:rFonts w:hint="eastAsia" w:ascii="黑体" w:hAnsi="黑体" w:eastAsia="黑体" w:cs="黑体"/>
          <w:szCs w:val="21"/>
        </w:rPr>
        <w:t>充（换）电站</w:t>
      </w:r>
      <w:r>
        <w:rPr>
          <w:rFonts w:hint="eastAsia" w:ascii="Times New Roman" w:eastAsia="Times New Roman"/>
          <w:szCs w:val="21"/>
        </w:rPr>
        <w:t>  charging/battery swap station</w:t>
      </w:r>
    </w:p>
    <w:p w14:paraId="08715131">
      <w:pPr>
        <w:pStyle w:val="233"/>
        <w:wordWrap w:val="0"/>
        <w:jc w:val="both"/>
      </w:pPr>
      <w:r>
        <w:rPr>
          <w:rFonts w:hint="eastAsia" w:hAnsi="宋体" w:cs="宋体"/>
          <w:szCs w:val="21"/>
        </w:rPr>
        <w:t>由一组或多组充（换）电柜组成，为电动自行车用蓄电池进行集中充（换）电的建筑。</w:t>
      </w:r>
    </w:p>
    <w:p w14:paraId="6CFB512F">
      <w:pPr>
        <w:pStyle w:val="163"/>
      </w:pPr>
      <w:bookmarkStart w:id="52" w:name="_Tocaee3a4fb-c9a1-4751-bc6f-5b125b1bab2f"/>
      <w:bookmarkEnd w:id="52"/>
    </w:p>
    <w:p w14:paraId="39AF8A5A">
      <w:pPr>
        <w:pStyle w:val="233"/>
        <w:wordWrap w:val="0"/>
        <w:jc w:val="both"/>
      </w:pPr>
      <w:r>
        <w:rPr>
          <w:rFonts w:hint="eastAsia" w:ascii="黑体" w:hAnsi="黑体" w:eastAsia="黑体" w:cs="黑体"/>
          <w:szCs w:val="21"/>
        </w:rPr>
        <w:t>充电车位</w:t>
      </w:r>
      <w:r>
        <w:rPr>
          <w:rFonts w:hint="eastAsia" w:ascii="Times New Roman" w:eastAsia="Times New Roman"/>
          <w:szCs w:val="21"/>
        </w:rPr>
        <w:t>  charging parking space</w:t>
      </w:r>
    </w:p>
    <w:p w14:paraId="58BAC8F9">
      <w:pPr>
        <w:pStyle w:val="233"/>
        <w:wordWrap w:val="0"/>
        <w:jc w:val="both"/>
      </w:pPr>
      <w:r>
        <w:rPr>
          <w:rFonts w:hint="eastAsia" w:hAnsi="宋体" w:cs="宋体"/>
          <w:szCs w:val="21"/>
        </w:rPr>
        <w:t>电动自行车集中充电场所内设置的具有充电功能的停车位。</w:t>
      </w:r>
    </w:p>
    <w:p w14:paraId="4D5F24B1">
      <w:pPr>
        <w:pStyle w:val="163"/>
      </w:pPr>
      <w:bookmarkStart w:id="53" w:name="_Toc343d6690-0b5b-4a8b-a995-ef21fe0d5e76"/>
      <w:bookmarkEnd w:id="53"/>
    </w:p>
    <w:p w14:paraId="7E0409E4">
      <w:pPr>
        <w:pStyle w:val="233"/>
        <w:wordWrap w:val="0"/>
        <w:jc w:val="both"/>
      </w:pPr>
      <w:r>
        <w:rPr>
          <w:rFonts w:hint="eastAsia" w:ascii="黑体" w:hAnsi="黑体" w:eastAsia="黑体" w:cs="黑体"/>
          <w:szCs w:val="21"/>
        </w:rPr>
        <w:t xml:space="preserve">停放车位 </w:t>
      </w:r>
      <w:r>
        <w:rPr>
          <w:rFonts w:hint="eastAsia" w:ascii="Times New Roman" w:eastAsia="Times New Roman"/>
          <w:szCs w:val="21"/>
        </w:rPr>
        <w:t>  parking space</w:t>
      </w:r>
    </w:p>
    <w:p w14:paraId="1CCE8FD2">
      <w:pPr>
        <w:pStyle w:val="233"/>
        <w:wordWrap w:val="0"/>
        <w:jc w:val="both"/>
        <w:rPr>
          <w:rFonts w:hAnsi="宋体" w:cs="宋体"/>
          <w:szCs w:val="21"/>
        </w:rPr>
      </w:pPr>
      <w:r>
        <w:rPr>
          <w:rFonts w:hint="eastAsia" w:hAnsi="宋体" w:cs="宋体"/>
          <w:szCs w:val="21"/>
        </w:rPr>
        <w:t>电动自行车集中充电场所内设置的不具有充电功能的停车位。</w:t>
      </w:r>
    </w:p>
    <w:p w14:paraId="7796C7F1">
      <w:pPr>
        <w:pStyle w:val="105"/>
        <w:spacing w:before="312" w:after="312"/>
      </w:pPr>
      <w:bookmarkStart w:id="54" w:name="_Toc4030e84e-3759-46f7-b839-4aa175dd81f7"/>
      <w:bookmarkStart w:id="55" w:name="_Toc173007724"/>
      <w:r>
        <w:rPr>
          <w:rFonts w:hint="eastAsia"/>
        </w:rPr>
        <w:t>总则</w:t>
      </w:r>
      <w:bookmarkEnd w:id="54"/>
      <w:bookmarkEnd w:id="55"/>
    </w:p>
    <w:p w14:paraId="6DAD22A1">
      <w:pPr>
        <w:pStyle w:val="163"/>
      </w:pPr>
      <w:r>
        <w:rPr>
          <w:rFonts w:hint="eastAsia"/>
        </w:rPr>
        <w:t>应选购符合GB17761规定，获得国家强制性产品认证（CCC认证）的电动自行车。</w:t>
      </w:r>
    </w:p>
    <w:p w14:paraId="7AC5016E">
      <w:pPr>
        <w:pStyle w:val="163"/>
      </w:pPr>
      <w:r>
        <w:rPr>
          <w:rFonts w:hint="eastAsia"/>
        </w:rPr>
        <w:t>电动自行车的使用、充电、维护保养应符合产品说明书的有关要求和相关标准。</w:t>
      </w:r>
    </w:p>
    <w:p w14:paraId="1653FD37">
      <w:pPr>
        <w:pStyle w:val="163"/>
      </w:pPr>
      <w:r>
        <w:rPr>
          <w:rFonts w:hint="eastAsia"/>
        </w:rPr>
        <w:t>停放电动自行车或为电动自行车充电，宜采取集中停放、集中充电的方式。</w:t>
      </w:r>
    </w:p>
    <w:p w14:paraId="07C72B32">
      <w:pPr>
        <w:pStyle w:val="163"/>
      </w:pPr>
      <w:r>
        <w:rPr>
          <w:rFonts w:hint="eastAsia"/>
        </w:rPr>
        <w:t>电动自行车停放和充电应选择指定的固定区域或电动自行车停放充电场所。临时停放时，宜选择空旷场地等相对安全的地点。</w:t>
      </w:r>
    </w:p>
    <w:p w14:paraId="1B31ABDE">
      <w:pPr>
        <w:pStyle w:val="163"/>
      </w:pPr>
      <w:r>
        <w:rPr>
          <w:rFonts w:hint="eastAsia"/>
        </w:rPr>
        <w:t>新建、改建、扩建公共建筑、住宅建筑时，建设单位应同步规划建设电动自行车停放充电场所，并纳入总体方案审核内容。已建成投入使用的公共建筑、住宅建筑，具备条件的应按照区域内电动自行车保有量、空间布局等实际情况建设电动自行车停放充电场所，相关审批部门应予以保障，不具备条件的应当在公共建筑、住宅建筑周边建设电动自行车停放充电场所。</w:t>
      </w:r>
    </w:p>
    <w:p w14:paraId="4543BD8D">
      <w:pPr>
        <w:pStyle w:val="163"/>
      </w:pPr>
      <w:r>
        <w:rPr>
          <w:rFonts w:hint="eastAsia"/>
        </w:rPr>
        <w:t>管理单位宜采用电梯阻入、电池定位、电子围栏等先进的技术防范措施规范电动自行车停放、充电行为。</w:t>
      </w:r>
    </w:p>
    <w:p w14:paraId="5544DE57">
      <w:pPr>
        <w:pStyle w:val="163"/>
      </w:pPr>
      <w:r>
        <w:rPr>
          <w:rFonts w:hint="eastAsia"/>
        </w:rPr>
        <w:t>电动自行车停放充电场所的防火设计和消防管理除应符合本文件外，尚应符合相关法律法规及现行国家标准、行业标准、地方标准的规定。</w:t>
      </w:r>
    </w:p>
    <w:p w14:paraId="53773927">
      <w:pPr>
        <w:pStyle w:val="105"/>
        <w:spacing w:before="312" w:after="312"/>
      </w:pPr>
      <w:bookmarkStart w:id="56" w:name="_Toc73559ad7-64a4-4c61-9223-e2e5099c513d"/>
      <w:bookmarkStart w:id="57" w:name="_Toc173007725"/>
      <w:r>
        <w:rPr>
          <w:rFonts w:hint="eastAsia"/>
        </w:rPr>
        <w:t>电动自行车使用人的管理</w:t>
      </w:r>
      <w:bookmarkEnd w:id="56"/>
      <w:bookmarkEnd w:id="57"/>
    </w:p>
    <w:p w14:paraId="0C35C7E3">
      <w:pPr>
        <w:pStyle w:val="106"/>
        <w:spacing w:before="156" w:after="156"/>
      </w:pPr>
      <w:bookmarkStart w:id="58" w:name="_Toc3bc00cdb-3aa6-44e1-b982-a45b48653260"/>
      <w:bookmarkStart w:id="59" w:name="_Toc173007726"/>
      <w:r>
        <w:rPr>
          <w:rFonts w:hint="eastAsia"/>
        </w:rPr>
        <w:t>一般规定</w:t>
      </w:r>
      <w:bookmarkEnd w:id="58"/>
      <w:bookmarkEnd w:id="59"/>
    </w:p>
    <w:p w14:paraId="71BD3603">
      <w:pPr>
        <w:pStyle w:val="166"/>
      </w:pPr>
      <w:r>
        <w:rPr>
          <w:rFonts w:hint="eastAsia"/>
        </w:rPr>
        <w:t>应熟练掌握电动自行车正确使用、充电方法和使用过程中的火灾风险、预防措施，接受管理单位的统一管理，积极参加消防教育培训、灭火和应急疏散演练等活动。</w:t>
      </w:r>
    </w:p>
    <w:p w14:paraId="5146EFF9">
      <w:pPr>
        <w:pStyle w:val="166"/>
      </w:pPr>
      <w:r>
        <w:rPr>
          <w:rFonts w:hint="eastAsia"/>
        </w:rPr>
        <w:t>不应随意拆卸、更换或改装电动自行车电器部件，不应要求销售维修售后服务单位为其购置的车辆实施拆除限速器、篡改电池组容量和电压等违规改装。</w:t>
      </w:r>
    </w:p>
    <w:p w14:paraId="54EC3B4F">
      <w:pPr>
        <w:pStyle w:val="166"/>
      </w:pPr>
      <w:r>
        <w:rPr>
          <w:rFonts w:hint="eastAsia"/>
        </w:rPr>
        <w:t>电动自行车使用人应遵守电动自行车相关停放、充电安全管理规定，不应在建筑内的共用走道、楼梯间、安全出口处等公共区域及人员密集场所、居民住宅等室内场所停放电动自行车或者为电动自行车充电，不应使用电梯轿厢运载电动自行车及蓄电池。</w:t>
      </w:r>
    </w:p>
    <w:p w14:paraId="20A4A1C6">
      <w:pPr>
        <w:pStyle w:val="106"/>
        <w:spacing w:before="156" w:after="156"/>
      </w:pPr>
      <w:bookmarkStart w:id="60" w:name="_Tocd63f2203-c025-4001-8abf-4d7b5ca73e24"/>
      <w:bookmarkStart w:id="61" w:name="_Toc173007727"/>
      <w:r>
        <w:rPr>
          <w:rFonts w:hint="eastAsia"/>
        </w:rPr>
        <w:t>使用</w:t>
      </w:r>
      <w:bookmarkEnd w:id="60"/>
      <w:bookmarkEnd w:id="61"/>
    </w:p>
    <w:p w14:paraId="2F6AF4E1">
      <w:pPr>
        <w:pStyle w:val="166"/>
      </w:pPr>
      <w:r>
        <w:rPr>
          <w:rFonts w:hint="eastAsia"/>
        </w:rPr>
        <w:t>行车前应检查电源电路、灯光照明电路等工作状态是否正常。</w:t>
      </w:r>
    </w:p>
    <w:p w14:paraId="04FBAC66">
      <w:pPr>
        <w:pStyle w:val="166"/>
      </w:pPr>
      <w:r>
        <w:rPr>
          <w:rFonts w:hint="eastAsia"/>
        </w:rPr>
        <w:t>在积水路段行驶，水位高度不宜超过电动轮毂轴承座的下沿，防止水位淹没电机、蓄电池等带电部位。</w:t>
      </w:r>
    </w:p>
    <w:p w14:paraId="1B8089F3">
      <w:pPr>
        <w:pStyle w:val="166"/>
      </w:pPr>
      <w:r>
        <w:rPr>
          <w:rFonts w:hint="eastAsia"/>
        </w:rPr>
        <w:t>电动自行车出现故障报警等信号，应立即停止电动自行车运行。</w:t>
      </w:r>
    </w:p>
    <w:p w14:paraId="6FBD3AD4">
      <w:pPr>
        <w:pStyle w:val="106"/>
        <w:spacing w:before="156" w:after="156"/>
      </w:pPr>
      <w:bookmarkStart w:id="62" w:name="_Tocc038a88e-1f40-46b1-b170-124e51a675de"/>
      <w:bookmarkStart w:id="63" w:name="_Toc173007728"/>
      <w:r>
        <w:rPr>
          <w:rFonts w:hint="eastAsia"/>
        </w:rPr>
        <w:t>停放</w:t>
      </w:r>
      <w:bookmarkEnd w:id="62"/>
      <w:bookmarkEnd w:id="63"/>
    </w:p>
    <w:p w14:paraId="5C13639D">
      <w:pPr>
        <w:pStyle w:val="166"/>
      </w:pPr>
      <w:r>
        <w:rPr>
          <w:rFonts w:hint="eastAsia"/>
        </w:rPr>
        <w:t>电动自行车停放时，应关闭电源锁，断电停放。</w:t>
      </w:r>
    </w:p>
    <w:p w14:paraId="6F93DBB5">
      <w:pPr>
        <w:pStyle w:val="166"/>
      </w:pPr>
      <w:r>
        <w:rPr>
          <w:rFonts w:hint="eastAsia"/>
        </w:rPr>
        <w:t>电动自行车宜停放在专用停放场所，车身周边不应有可燃物堆放。</w:t>
      </w:r>
    </w:p>
    <w:p w14:paraId="559C8BCA">
      <w:pPr>
        <w:pStyle w:val="166"/>
      </w:pPr>
      <w:r>
        <w:rPr>
          <w:rFonts w:hint="eastAsia"/>
        </w:rPr>
        <w:t>不应将易燃易爆物品等留滞在电动自行车纳物箱内。</w:t>
      </w:r>
    </w:p>
    <w:p w14:paraId="240FBB89">
      <w:pPr>
        <w:pStyle w:val="166"/>
      </w:pPr>
      <w:r>
        <w:rPr>
          <w:rFonts w:hint="eastAsia"/>
        </w:rPr>
        <w:t>电动自行车停放应远离燃气设施、变配电设施等安全重点部位。</w:t>
      </w:r>
    </w:p>
    <w:p w14:paraId="2C5F1709">
      <w:pPr>
        <w:pStyle w:val="166"/>
      </w:pPr>
      <w:r>
        <w:rPr>
          <w:rFonts w:hint="eastAsia"/>
        </w:rPr>
        <w:t>电动自行车长时间存放时，应关闭车辆电源开关，存放在阴凉处。</w:t>
      </w:r>
    </w:p>
    <w:p w14:paraId="00EF8716">
      <w:pPr>
        <w:pStyle w:val="106"/>
        <w:spacing w:before="156" w:after="156"/>
      </w:pPr>
      <w:bookmarkStart w:id="64" w:name="_Tocba900546-3ba3-4a39-937d-0d0f415b81bc"/>
      <w:bookmarkStart w:id="65" w:name="_Toc173007729"/>
      <w:r>
        <w:rPr>
          <w:rFonts w:hint="eastAsia"/>
        </w:rPr>
        <w:t>充电</w:t>
      </w:r>
      <w:bookmarkEnd w:id="64"/>
      <w:bookmarkEnd w:id="65"/>
    </w:p>
    <w:p w14:paraId="15BBE62A">
      <w:pPr>
        <w:pStyle w:val="166"/>
      </w:pPr>
      <w:r>
        <w:rPr>
          <w:rFonts w:hint="eastAsia"/>
        </w:rPr>
        <w:t>电动自行车应在符合消防安全技术标准的充电场所进行充电。</w:t>
      </w:r>
    </w:p>
    <w:p w14:paraId="3B58E2FE">
      <w:pPr>
        <w:pStyle w:val="166"/>
      </w:pPr>
      <w:r>
        <w:rPr>
          <w:rFonts w:hint="eastAsia"/>
        </w:rPr>
        <w:t>电动自行车充电方式、充电时长应遵守产品说明书要求，不应一座多充或者长时间过度充电。</w:t>
      </w:r>
    </w:p>
    <w:p w14:paraId="1F127C6F">
      <w:pPr>
        <w:pStyle w:val="166"/>
      </w:pPr>
      <w:r>
        <w:rPr>
          <w:rFonts w:hint="eastAsia"/>
        </w:rPr>
        <w:t>充电前应检查充电设施是否处于正常状态，并关闭电动自行车电源锁。</w:t>
      </w:r>
    </w:p>
    <w:p w14:paraId="6299F457">
      <w:pPr>
        <w:pStyle w:val="166"/>
      </w:pPr>
      <w:r>
        <w:rPr>
          <w:rFonts w:hint="eastAsia"/>
        </w:rPr>
        <w:t>充电期间，充电器宜放置在平稳的支撑物上，不应放在鞍座、尾箱、防寒围挡等可燃物上。</w:t>
      </w:r>
    </w:p>
    <w:p w14:paraId="3EF34250">
      <w:pPr>
        <w:pStyle w:val="166"/>
      </w:pPr>
      <w:r>
        <w:rPr>
          <w:rFonts w:hint="eastAsia"/>
        </w:rPr>
        <w:t>充电时不应在蓄电池和充电器上加盖任何物品。</w:t>
      </w:r>
    </w:p>
    <w:p w14:paraId="682C13B7">
      <w:pPr>
        <w:pStyle w:val="166"/>
      </w:pPr>
      <w:r>
        <w:rPr>
          <w:rFonts w:hint="eastAsia"/>
        </w:rPr>
        <w:t>不应混用不同品牌、不同种类、不同规格的电池和充电器。</w:t>
      </w:r>
    </w:p>
    <w:p w14:paraId="271290BE">
      <w:pPr>
        <w:pStyle w:val="166"/>
      </w:pPr>
      <w:r>
        <w:rPr>
          <w:rFonts w:hint="eastAsia"/>
        </w:rPr>
        <w:t>不应从室内拉接电线进行飞线充电。</w:t>
      </w:r>
    </w:p>
    <w:p w14:paraId="011B826E">
      <w:pPr>
        <w:pStyle w:val="166"/>
      </w:pPr>
      <w:r>
        <w:rPr>
          <w:rFonts w:hint="eastAsia"/>
        </w:rPr>
        <w:t>应保持电动自行车周边通风干燥，不应在高温高湿、过量油烟、粉尘等不良环境下充电。</w:t>
      </w:r>
    </w:p>
    <w:p w14:paraId="47C6931B">
      <w:pPr>
        <w:pStyle w:val="166"/>
      </w:pPr>
      <w:r>
        <w:rPr>
          <w:rFonts w:hint="eastAsia"/>
        </w:rPr>
        <w:t>发现指示灯异常、充电器外壳过热、电池鼓胀等不良现象，应立即停止充电。</w:t>
      </w:r>
    </w:p>
    <w:p w14:paraId="12654296">
      <w:pPr>
        <w:pStyle w:val="106"/>
        <w:spacing w:before="156" w:after="156"/>
      </w:pPr>
      <w:bookmarkStart w:id="66" w:name="_Toccc14660a-8969-44eb-aa8c-b7f7ca8f8440"/>
      <w:bookmarkStart w:id="67" w:name="_Toc173007730"/>
      <w:r>
        <w:rPr>
          <w:rFonts w:hint="eastAsia"/>
        </w:rPr>
        <w:t>维护保养</w:t>
      </w:r>
      <w:bookmarkEnd w:id="66"/>
      <w:bookmarkEnd w:id="67"/>
    </w:p>
    <w:p w14:paraId="23372901">
      <w:pPr>
        <w:pStyle w:val="166"/>
      </w:pPr>
      <w:r>
        <w:rPr>
          <w:rFonts w:hint="eastAsia"/>
        </w:rPr>
        <w:t>更换充电器时应选择与蓄电池型号匹配的合格充电器产品。</w:t>
      </w:r>
    </w:p>
    <w:p w14:paraId="064B4A3E">
      <w:pPr>
        <w:pStyle w:val="166"/>
      </w:pPr>
      <w:r>
        <w:rPr>
          <w:rFonts w:hint="eastAsia"/>
        </w:rPr>
        <w:t>电动自行车废旧蓄电池应送交电动自行车及其蓄电池的生产者、销售者处理，或者送交具有相应危险废物经营资质的单位集中处理，不应随意丢弃。</w:t>
      </w:r>
    </w:p>
    <w:p w14:paraId="4DC295CE">
      <w:pPr>
        <w:pStyle w:val="166"/>
      </w:pPr>
      <w:r>
        <w:rPr>
          <w:rFonts w:hint="eastAsia"/>
        </w:rPr>
        <w:t>清洁车辆时不应使用蒸汽或高压水柱冲洗车辆，不应用水流冲洗充电插口、线束接插件及保险丝管等电器部件。</w:t>
      </w:r>
    </w:p>
    <w:p w14:paraId="3CE063B1">
      <w:pPr>
        <w:pStyle w:val="166"/>
      </w:pPr>
      <w:r>
        <w:rPr>
          <w:rFonts w:hint="eastAsia"/>
        </w:rPr>
        <w:t>电动自行车电器组件宜保持干燥， 重度泡水的电动自行车，应由专业人员检测、维修。</w:t>
      </w:r>
      <w:bookmarkStart w:id="68" w:name="_Toc331910f7-5de5-4b35-b68c-9ad03d248610"/>
    </w:p>
    <w:p w14:paraId="39A70023">
      <w:pPr>
        <w:pStyle w:val="105"/>
        <w:spacing w:before="312" w:after="312"/>
      </w:pPr>
      <w:bookmarkStart w:id="69" w:name="_Toc173007731"/>
      <w:r>
        <w:rPr>
          <w:rFonts w:hint="eastAsia"/>
        </w:rPr>
        <w:t>销售、维修、售后服务单位的管理</w:t>
      </w:r>
      <w:bookmarkEnd w:id="68"/>
      <w:bookmarkEnd w:id="69"/>
    </w:p>
    <w:p w14:paraId="4E7AA50A">
      <w:pPr>
        <w:pStyle w:val="163"/>
      </w:pPr>
      <w:r>
        <w:rPr>
          <w:rFonts w:hint="eastAsia"/>
        </w:rPr>
        <w:t>销售的电动自行车及配件应当符合有关国家标准、行业标准的安全要求。</w:t>
      </w:r>
    </w:p>
    <w:p w14:paraId="50235142">
      <w:pPr>
        <w:pStyle w:val="163"/>
      </w:pPr>
      <w:r>
        <w:rPr>
          <w:rFonts w:hint="eastAsia"/>
        </w:rPr>
        <w:t>不应对出厂后的电动自行车实施下列行为:</w:t>
      </w:r>
    </w:p>
    <w:p w14:paraId="22036C7D">
      <w:pPr>
        <w:numPr>
          <w:ilvl w:val="0"/>
          <w:numId w:val="32"/>
        </w:numPr>
        <w:adjustRightInd/>
        <w:spacing w:line="240" w:lineRule="auto"/>
        <w:ind w:left="823" w:hanging="420"/>
      </w:pPr>
      <w:r>
        <w:rPr>
          <w:rFonts w:hint="eastAsia" w:ascii="宋体" w:hAnsi="宋体" w:cs="宋体"/>
        </w:rPr>
        <w:t>拼装电动自行车；</w:t>
      </w:r>
    </w:p>
    <w:p w14:paraId="1629A742">
      <w:pPr>
        <w:numPr>
          <w:ilvl w:val="0"/>
          <w:numId w:val="32"/>
        </w:numPr>
        <w:adjustRightInd/>
        <w:spacing w:line="240" w:lineRule="auto"/>
        <w:ind w:left="823" w:hanging="420"/>
      </w:pPr>
      <w:r>
        <w:rPr>
          <w:rFonts w:hint="eastAsia" w:ascii="宋体" w:hAnsi="宋体" w:cs="宋体"/>
        </w:rPr>
        <w:t>改装电动自行车的电动机和蓄电池及充电器等，或者更换不符合强制性国家标准的电动机和蓄电池及充电器等；</w:t>
      </w:r>
    </w:p>
    <w:p w14:paraId="5DEDDAB7">
      <w:pPr>
        <w:numPr>
          <w:ilvl w:val="0"/>
          <w:numId w:val="32"/>
        </w:numPr>
        <w:adjustRightInd/>
        <w:spacing w:line="240" w:lineRule="auto"/>
        <w:ind w:left="823" w:hanging="420"/>
      </w:pPr>
      <w:r>
        <w:rPr>
          <w:rFonts w:hint="eastAsia" w:ascii="宋体" w:hAnsi="宋体" w:cs="宋体"/>
        </w:rPr>
        <w:t>将回收车辆配件以旧充新再次出售；</w:t>
      </w:r>
    </w:p>
    <w:p w14:paraId="54ED1518">
      <w:pPr>
        <w:pStyle w:val="163"/>
      </w:pPr>
      <w:r>
        <w:rPr>
          <w:rFonts w:hint="eastAsia"/>
        </w:rPr>
        <w:t>提供废旧蓄电池更换、回收服务的单位应建立废旧蓄电池管理台账，并将废旧铅蓄电池移交至具有相应危险废物经营资质的单位统一处理，不应移交其他单位或者个人，不应将废旧铅蓄电池翻新或二次销售。</w:t>
      </w:r>
    </w:p>
    <w:p w14:paraId="492326DD">
      <w:pPr>
        <w:pStyle w:val="163"/>
      </w:pPr>
      <w:r>
        <w:rPr>
          <w:rFonts w:hint="eastAsia"/>
        </w:rPr>
        <w:t>更换蓄电池应由专业人员按车辆整车示意图、电池安装图和电气原理图进行安装更换。</w:t>
      </w:r>
    </w:p>
    <w:p w14:paraId="03B3DC90">
      <w:pPr>
        <w:pStyle w:val="163"/>
      </w:pPr>
      <w:r>
        <w:rPr>
          <w:rFonts w:hint="eastAsia"/>
        </w:rPr>
        <w:t>维修或售后服务活动中，发现电线束、电源软线或导线破裂、损坏，插头插座和开关等电气装置损坏时，应及时通知使用人并由专业人员进行修理。</w:t>
      </w:r>
    </w:p>
    <w:p w14:paraId="7A63A07F">
      <w:pPr>
        <w:pStyle w:val="163"/>
      </w:pPr>
      <w:r>
        <w:rPr>
          <w:rFonts w:hint="eastAsia"/>
        </w:rPr>
        <w:t>销售维修售后服务场所不应设置人员住宿。</w:t>
      </w:r>
    </w:p>
    <w:p w14:paraId="226342BC">
      <w:pPr>
        <w:pStyle w:val="163"/>
      </w:pPr>
      <w:r>
        <w:rPr>
          <w:rFonts w:hint="eastAsia"/>
        </w:rPr>
        <w:t>营业结束后，场所内除需要24h供电的消防设施、智能监控系统外，其他用电设施设备应当断电。</w:t>
      </w:r>
    </w:p>
    <w:p w14:paraId="318BBF2A">
      <w:pPr>
        <w:pStyle w:val="105"/>
        <w:spacing w:before="312" w:after="312"/>
      </w:pPr>
      <w:bookmarkStart w:id="70" w:name="_Toc84dbd582-886d-41a5-b0fd-2c180d1804b2"/>
      <w:bookmarkStart w:id="71" w:name="_Toc173007732"/>
      <w:r>
        <w:rPr>
          <w:rFonts w:hint="eastAsia"/>
        </w:rPr>
        <w:t>停放充电场所设置</w:t>
      </w:r>
      <w:bookmarkEnd w:id="70"/>
      <w:bookmarkEnd w:id="71"/>
    </w:p>
    <w:p w14:paraId="46FE05BA">
      <w:pPr>
        <w:pStyle w:val="106"/>
        <w:spacing w:before="156" w:after="156"/>
      </w:pPr>
      <w:bookmarkStart w:id="72" w:name="_Toc56106f3b-c01b-4218-aa0c-8f71458ca239"/>
      <w:bookmarkStart w:id="73" w:name="_Toc173007733"/>
      <w:r>
        <w:rPr>
          <w:rFonts w:hint="eastAsia"/>
        </w:rPr>
        <w:t>一般规定</w:t>
      </w:r>
      <w:bookmarkEnd w:id="72"/>
      <w:bookmarkEnd w:id="73"/>
    </w:p>
    <w:p w14:paraId="197A9F8B">
      <w:pPr>
        <w:pStyle w:val="166"/>
      </w:pPr>
      <w:r>
        <w:rPr>
          <w:rFonts w:hint="eastAsia"/>
        </w:rPr>
        <w:t>电动自行车库与其他建(构)筑物、可燃材料堆场、储罐(区)等之间的防火间距，应符合GB 50016、GB 50067 和GB 55037等标准中民用建筑的相关规定。</w:t>
      </w:r>
    </w:p>
    <w:p w14:paraId="1445BC11">
      <w:pPr>
        <w:pStyle w:val="166"/>
      </w:pPr>
      <w:r>
        <w:rPr>
          <w:rFonts w:hint="eastAsia"/>
        </w:rPr>
        <w:t>厂区电动自行车停放充电场所宜布置在生活、办公等非生产区域，不应设置在生产、储存易燃易爆等危险化学品高危区域，不应与甲、乙类厂房、仓库贴邻或组合建造。</w:t>
      </w:r>
    </w:p>
    <w:p w14:paraId="1DAAF2EA">
      <w:pPr>
        <w:pStyle w:val="166"/>
      </w:pPr>
      <w:r>
        <w:rPr>
          <w:rFonts w:hint="eastAsia"/>
        </w:rPr>
        <w:t>电动自行车停放充电场所宜设置电气火灾监控系统，并反馈至消防控制室或有人值守的值班室。</w:t>
      </w:r>
    </w:p>
    <w:p w14:paraId="0EE8219A">
      <w:pPr>
        <w:pStyle w:val="166"/>
      </w:pPr>
      <w:r>
        <w:rPr>
          <w:rFonts w:hint="eastAsia"/>
        </w:rPr>
        <w:t>电动自行车停放充电场所应配备适用于扑救A、B、C、E 类火灾的灭火器，宜配备手提式水基型灭火器或推车式水基型灭火器，并宜结合灭火救援需要配备灭火毯、快速移车装置等器材。</w:t>
      </w:r>
    </w:p>
    <w:p w14:paraId="0444AA8E">
      <w:pPr>
        <w:pStyle w:val="166"/>
      </w:pPr>
      <w:r>
        <w:rPr>
          <w:rFonts w:hint="eastAsia"/>
        </w:rPr>
        <w:t>符合DB32/T 3904-2020中6.1.3条规定的电动自行车停车场，当不需要按照电动自行车库相关要求执行时，应设置具备无线通讯功能的独立式火灾报警探测器和简易喷淋系统。</w:t>
      </w:r>
    </w:p>
    <w:p w14:paraId="69254F4B">
      <w:pPr>
        <w:pStyle w:val="166"/>
      </w:pPr>
      <w:r>
        <w:rPr>
          <w:rFonts w:hint="eastAsia"/>
        </w:rPr>
        <w:t>电动自行车停放充电场所内不应设置人员住宿场所，不应存放与车辆充电、停放无关的可燃物、易燃易爆物或设备。</w:t>
      </w:r>
    </w:p>
    <w:p w14:paraId="56BE5520">
      <w:pPr>
        <w:pStyle w:val="166"/>
      </w:pPr>
      <w:r>
        <w:rPr>
          <w:rFonts w:hint="eastAsia"/>
        </w:rPr>
        <w:t>电动自行车停放充电场所设置门禁系统时，应确保断电后疏散门处于可开启状态，或设置紧急开门装置。</w:t>
      </w:r>
    </w:p>
    <w:p w14:paraId="1134FE19">
      <w:pPr>
        <w:pStyle w:val="166"/>
      </w:pPr>
      <w:r>
        <w:rPr>
          <w:rFonts w:hint="eastAsia"/>
        </w:rPr>
        <w:t>电动自行车停车场充电区域应设置防风雨棚或采用其它有效的防水措施。</w:t>
      </w:r>
    </w:p>
    <w:p w14:paraId="55140FB0">
      <w:pPr>
        <w:pStyle w:val="166"/>
      </w:pPr>
      <w:r>
        <w:rPr>
          <w:rFonts w:hint="eastAsia"/>
        </w:rPr>
        <w:t>电动自行车停放充电场所应全域安装24h视频监控系统，有条件的可设置具备火焰识别功能的视频监控系统，视频监控系统应符合下列要求：</w:t>
      </w:r>
    </w:p>
    <w:p w14:paraId="4E8EF3B1">
      <w:pPr>
        <w:numPr>
          <w:ilvl w:val="0"/>
          <w:numId w:val="33"/>
        </w:numPr>
        <w:adjustRightInd/>
        <w:spacing w:line="240" w:lineRule="auto"/>
      </w:pPr>
      <w:r>
        <w:rPr>
          <w:rFonts w:hint="eastAsia" w:ascii="宋体" w:hAnsi="宋体" w:cs="宋体"/>
        </w:rPr>
        <w:t>图像应能在值班室、控制室等场所实时显示；</w:t>
      </w:r>
    </w:p>
    <w:p w14:paraId="15950438">
      <w:pPr>
        <w:numPr>
          <w:ilvl w:val="0"/>
          <w:numId w:val="33"/>
        </w:numPr>
        <w:adjustRightInd/>
        <w:spacing w:line="240" w:lineRule="auto"/>
      </w:pPr>
      <w:r>
        <w:rPr>
          <w:rFonts w:hint="eastAsia" w:ascii="宋体" w:hAnsi="宋体" w:cs="宋体"/>
        </w:rPr>
        <w:t>摄像头应覆盖所有停放充电位置；</w:t>
      </w:r>
    </w:p>
    <w:p w14:paraId="55ECDF43">
      <w:pPr>
        <w:numPr>
          <w:ilvl w:val="0"/>
          <w:numId w:val="33"/>
        </w:numPr>
        <w:adjustRightInd/>
        <w:spacing w:line="240" w:lineRule="auto"/>
      </w:pPr>
      <w:r>
        <w:rPr>
          <w:rFonts w:hint="eastAsia" w:ascii="宋体" w:hAnsi="宋体" w:cs="宋体"/>
        </w:rPr>
        <w:t>图像应具备储存、查询、回放功能；</w:t>
      </w:r>
    </w:p>
    <w:p w14:paraId="2BB1D085">
      <w:pPr>
        <w:numPr>
          <w:ilvl w:val="0"/>
          <w:numId w:val="33"/>
        </w:numPr>
        <w:adjustRightInd/>
        <w:spacing w:line="240" w:lineRule="auto"/>
      </w:pPr>
      <w:r>
        <w:rPr>
          <w:rFonts w:hint="eastAsia" w:ascii="宋体" w:hAnsi="宋体" w:cs="宋体"/>
        </w:rPr>
        <w:t>图像存储时间应不少于30天。</w:t>
      </w:r>
    </w:p>
    <w:p w14:paraId="55BB4697">
      <w:pPr>
        <w:pStyle w:val="166"/>
      </w:pPr>
      <w:r>
        <w:rPr>
          <w:rFonts w:hint="eastAsia"/>
        </w:rPr>
        <w:t>对于老旧住宅小区、城中村等受场地、建筑等条件限制难以按本规范的规定进行建设的电动自行车停放充电场所，可结合实际情况采取替代性的消防安全措施，其设计方案应经专题研究论证后确定。</w:t>
      </w:r>
    </w:p>
    <w:p w14:paraId="2CE5C45B">
      <w:pPr>
        <w:pStyle w:val="106"/>
        <w:spacing w:before="156" w:after="156"/>
      </w:pPr>
      <w:bookmarkStart w:id="74" w:name="_Toc48d111d9-3e7d-4cc9-b0e4-594139c1a1bd"/>
      <w:bookmarkStart w:id="75" w:name="_Toc173007734"/>
      <w:r>
        <w:rPr>
          <w:rFonts w:hint="eastAsia"/>
        </w:rPr>
        <w:t>架空层作电动自行车停放充电场所</w:t>
      </w:r>
      <w:bookmarkEnd w:id="74"/>
      <w:bookmarkEnd w:id="75"/>
    </w:p>
    <w:p w14:paraId="22FA280E">
      <w:pPr>
        <w:pStyle w:val="166"/>
      </w:pPr>
      <w:r>
        <w:rPr>
          <w:rFonts w:hint="eastAsia"/>
        </w:rPr>
        <w:t>电动自行车停放充电场所设置在建筑架空层时，其防火分区面积不应大于500㎡，并应采用没有门窗、洞口的防火墙和耐火极限不低于2.00h的楼板，与建筑的采光通风井、公共门厅、疏散走道、楼梯间、安全出口等其他部分进行有效的防火分隔，不应占用、堵塞楼梯间、疏散通道、安全出口和公共门厅。</w:t>
      </w:r>
    </w:p>
    <w:p w14:paraId="47786441">
      <w:pPr>
        <w:pStyle w:val="166"/>
      </w:pPr>
      <w:r>
        <w:rPr>
          <w:rFonts w:hint="eastAsia"/>
        </w:rPr>
        <w:t>进行防火分隔时，面向室外的架空区域不得封闭。</w:t>
      </w:r>
    </w:p>
    <w:p w14:paraId="19D57572">
      <w:pPr>
        <w:pStyle w:val="166"/>
      </w:pPr>
      <w:r>
        <w:rPr>
          <w:rFonts w:hint="eastAsia"/>
        </w:rPr>
        <w:t>建筑公共门厅、疏散走道、疏散楼梯间或安全出口，不应经由架空层设置的电动自行车停放充电场所通至室外，疏散楼梯间在首层应直通室外。</w:t>
      </w:r>
    </w:p>
    <w:p w14:paraId="09B58951">
      <w:pPr>
        <w:pStyle w:val="106"/>
        <w:spacing w:before="156" w:after="156"/>
      </w:pPr>
      <w:bookmarkStart w:id="76" w:name="_Toc024e74ab-6d63-4571-b7aa-89743c87e181"/>
      <w:bookmarkStart w:id="77" w:name="_Toc173007735"/>
      <w:r>
        <w:rPr>
          <w:rFonts w:hint="eastAsia"/>
        </w:rPr>
        <w:t>充（换）电柜</w:t>
      </w:r>
      <w:bookmarkEnd w:id="76"/>
      <w:bookmarkEnd w:id="77"/>
    </w:p>
    <w:p w14:paraId="69DD68F2">
      <w:pPr>
        <w:pStyle w:val="166"/>
      </w:pPr>
      <w:r>
        <w:rPr>
          <w:rFonts w:hint="eastAsia"/>
        </w:rPr>
        <w:t>充（换）电柜应符合GB/T 42236.1</w:t>
      </w:r>
      <w:r>
        <w:rPr>
          <w:rFonts w:hint="eastAsia"/>
          <w:color w:val="000000" w:themeColor="text1"/>
        </w:rPr>
        <w:t>规</w:t>
      </w:r>
      <w:r>
        <w:rPr>
          <w:rFonts w:hint="eastAsia"/>
        </w:rPr>
        <w:t>定。</w:t>
      </w:r>
    </w:p>
    <w:p w14:paraId="330903E7">
      <w:pPr>
        <w:pStyle w:val="166"/>
      </w:pPr>
      <w:r>
        <w:rPr>
          <w:rFonts w:hint="eastAsia"/>
        </w:rPr>
        <w:t>充（换）电柜宜在室外场地独立设置。不应设置在高温、易积水和易燃易爆物品等场所，不应占用防火间距、消防车道、消防车登高操作场地。</w:t>
      </w:r>
    </w:p>
    <w:p w14:paraId="74AA2B7C">
      <w:pPr>
        <w:pStyle w:val="166"/>
      </w:pPr>
      <w:r>
        <w:rPr>
          <w:rFonts w:hint="eastAsia"/>
        </w:rPr>
        <w:t>充（换）电柜应成组布置，每组充（换）电柜的总仓数不宜大于36个，相邻充（换）电柜之间的间距不宜小于1m，组与组之间的间距不应小于6m。</w:t>
      </w:r>
    </w:p>
    <w:p w14:paraId="776DDBF7">
      <w:pPr>
        <w:pStyle w:val="166"/>
      </w:pPr>
      <w:r>
        <w:rPr>
          <w:rFonts w:hint="eastAsia"/>
        </w:rPr>
        <w:t>充（换）电柜与建筑物外墙门、窗、洞口等开口部位，以及安全出口之间最近边缘的水平间距不应小于6.0m。当建筑物外墙保温或装饰材料燃烧性能等级低于B</w:t>
      </w:r>
      <w:r>
        <w:rPr>
          <w:rFonts w:hint="eastAsia"/>
          <w:vertAlign w:val="subscript"/>
        </w:rPr>
        <w:t>1</w:t>
      </w:r>
      <w:r>
        <w:rPr>
          <w:rFonts w:hint="eastAsia"/>
        </w:rPr>
        <w:t>级时，电动自行车停车场场地边界与建筑物外墙之间最近边缘的水平间距不应小于6.0m。</w:t>
      </w:r>
    </w:p>
    <w:p w14:paraId="0F6913C7">
      <w:pPr>
        <w:pStyle w:val="166"/>
      </w:pPr>
      <w:r>
        <w:rPr>
          <w:rFonts w:hint="eastAsia"/>
        </w:rPr>
        <w:t>充（换）电柜应接入运营或管理单位的控制系统，实时上传充电负载、故障监测、火灾报警等信息，运营管理系统应具备远程干预控制功能。</w:t>
      </w:r>
    </w:p>
    <w:p w14:paraId="2D99AC57">
      <w:pPr>
        <w:pStyle w:val="106"/>
        <w:spacing w:before="156" w:after="156"/>
      </w:pPr>
      <w:bookmarkStart w:id="78" w:name="_Toc341eb099-e607-4abf-b8e8-4ca8e47a0793"/>
      <w:bookmarkStart w:id="79" w:name="_Toc173007736"/>
      <w:r>
        <w:rPr>
          <w:rFonts w:hint="eastAsia"/>
        </w:rPr>
        <w:t>充（换）电站</w:t>
      </w:r>
      <w:bookmarkEnd w:id="78"/>
      <w:bookmarkEnd w:id="79"/>
    </w:p>
    <w:p w14:paraId="5A91C7B7">
      <w:pPr>
        <w:pStyle w:val="166"/>
      </w:pPr>
      <w:r>
        <w:rPr>
          <w:rFonts w:hint="eastAsia"/>
        </w:rPr>
        <w:t>充（换）电站不应设置在地下或半地下。</w:t>
      </w:r>
    </w:p>
    <w:p w14:paraId="33C42901">
      <w:pPr>
        <w:pStyle w:val="166"/>
      </w:pPr>
      <w:r>
        <w:rPr>
          <w:rFonts w:hint="eastAsia"/>
        </w:rPr>
        <w:t>充（换）电站耐火等级不应低于二级，且应满足GB 50016工业建筑耐火等级的相关规定。</w:t>
      </w:r>
    </w:p>
    <w:p w14:paraId="133CB98D">
      <w:pPr>
        <w:pStyle w:val="166"/>
      </w:pPr>
      <w:r>
        <w:rPr>
          <w:rFonts w:hint="eastAsia"/>
        </w:rPr>
        <w:t>充（换）电站与其他建(构)筑物、可燃材料堆场、储罐(区)等之间的防火间距，应符合GB 50016、GB 50067 和GB 55037等相关标准规定。</w:t>
      </w:r>
    </w:p>
    <w:p w14:paraId="26D144DB">
      <w:pPr>
        <w:pStyle w:val="166"/>
      </w:pPr>
      <w:r>
        <w:rPr>
          <w:rFonts w:hint="eastAsia"/>
        </w:rPr>
        <w:t>充（换）电站应独立建造。确有困难的，可与其他建筑合建，不应与甲、乙类工业建筑、文物保护建筑、托儿所、幼儿园、老年人照料设施等贴邻或组合建造。</w:t>
      </w:r>
    </w:p>
    <w:p w14:paraId="317EA103">
      <w:pPr>
        <w:pStyle w:val="166"/>
      </w:pPr>
      <w:r>
        <w:rPr>
          <w:rFonts w:hint="eastAsia"/>
        </w:rPr>
        <w:t>与其他建筑合建时，应设置在建筑首层直通室外的场所，并应采用防火墙和耐火极限不低于00h的不燃性楼板与其他部位分隔，墙上确需设置的门、窗应采用火灾时能自动关闭的甲级防火门、窗，不应采用防火卷帘或防火分隔水幕等措施替代。</w:t>
      </w:r>
    </w:p>
    <w:p w14:paraId="33483140">
      <w:pPr>
        <w:pStyle w:val="166"/>
      </w:pPr>
      <w:r>
        <w:rPr>
          <w:rFonts w:hint="eastAsia"/>
        </w:rPr>
        <w:t>单独建设的充（换）电站宜为单层建筑，其占地面积不应大于180㎡，防火分区面积不应大于60㎡；与其他建筑合建时，充（换）电站部分的建筑面积不应大于60㎡。</w:t>
      </w:r>
    </w:p>
    <w:p w14:paraId="627A4469">
      <w:pPr>
        <w:pStyle w:val="166"/>
      </w:pPr>
      <w:r>
        <w:rPr>
          <w:rFonts w:hint="eastAsia"/>
        </w:rPr>
        <w:t>充（换）电站内任一点至最近疏散门的距离不应大于</w:t>
      </w:r>
      <w:r>
        <w:t>30m</w:t>
      </w:r>
      <w:r>
        <w:rPr>
          <w:rFonts w:hint="eastAsia"/>
        </w:rPr>
        <w:t>，每个防火分区至少应设置</w:t>
      </w:r>
      <w:r>
        <w:t>1</w:t>
      </w:r>
      <w:r>
        <w:rPr>
          <w:rFonts w:hint="eastAsia"/>
        </w:rPr>
        <w:t>个直通室外的安全出口。</w:t>
      </w:r>
    </w:p>
    <w:p w14:paraId="31C69570">
      <w:pPr>
        <w:pStyle w:val="166"/>
      </w:pPr>
      <w:r>
        <w:rPr>
          <w:rFonts w:hint="eastAsia"/>
        </w:rPr>
        <w:t>单独建设的充（换）电站应设置消防软管卷盘或轻便水龙。与其他建筑合建时，当合建建筑不需设置室内消火栓系统的，充（换）电站部分应设置消防软管卷盘或轻便水龙。</w:t>
      </w:r>
    </w:p>
    <w:p w14:paraId="2A6AC7D1">
      <w:pPr>
        <w:pStyle w:val="166"/>
      </w:pPr>
      <w:r>
        <w:rPr>
          <w:rFonts w:hint="eastAsia"/>
        </w:rPr>
        <w:t>充（换）电站应设置火灾自动报警系统、自动灭火系统、排烟设施、消防应急照明和疏散指示系统等消防设施，且应符合GB 50016、GB 50116、GB 55036、GB 50084、GB 51251、GB 51309等标准相关要求。</w:t>
      </w:r>
    </w:p>
    <w:p w14:paraId="76366C5B">
      <w:pPr>
        <w:pStyle w:val="166"/>
      </w:pPr>
      <w:r>
        <w:rPr>
          <w:rFonts w:hint="eastAsia"/>
        </w:rPr>
        <w:t>充（换）电站应配置可燃气体探测报警装置，可燃气体探测器应根据电池热失控可能产生的气体类型进行选型。</w:t>
      </w:r>
    </w:p>
    <w:p w14:paraId="00718A92">
      <w:pPr>
        <w:pStyle w:val="166"/>
        <w:wordWrap w:val="0"/>
      </w:pPr>
      <w:r>
        <w:rPr>
          <w:rFonts w:hint="eastAsia"/>
        </w:rPr>
        <w:t>充（换）电站应设置铁制水桶、铁锹、消防手套等应急处置装备，水桶容积应能确保单个电池被水完全浸没，且不应小于50L。</w:t>
      </w:r>
    </w:p>
    <w:p w14:paraId="0842D1A7">
      <w:pPr>
        <w:pStyle w:val="105"/>
        <w:spacing w:before="312" w:after="312"/>
      </w:pPr>
      <w:bookmarkStart w:id="80" w:name="_Toca4f089a8-72de-4ab2-abb6-a19fca8aea1d"/>
      <w:bookmarkStart w:id="81" w:name="_Toc173007737"/>
      <w:r>
        <w:rPr>
          <w:rFonts w:hint="eastAsia"/>
        </w:rPr>
        <w:t>停放充电场所消防管理</w:t>
      </w:r>
      <w:bookmarkEnd w:id="80"/>
      <w:bookmarkEnd w:id="81"/>
    </w:p>
    <w:p w14:paraId="03482A47">
      <w:pPr>
        <w:pStyle w:val="106"/>
        <w:spacing w:before="156" w:after="156"/>
      </w:pPr>
      <w:bookmarkStart w:id="82" w:name="_Tocd8aa7d88-b9a9-4eb5-b774-28f7531e21d3"/>
      <w:bookmarkStart w:id="83" w:name="_Toc173007738"/>
      <w:r>
        <w:rPr>
          <w:rFonts w:hint="eastAsia"/>
        </w:rPr>
        <w:t>管理主体</w:t>
      </w:r>
      <w:bookmarkEnd w:id="82"/>
      <w:bookmarkEnd w:id="83"/>
    </w:p>
    <w:p w14:paraId="262411B6">
      <w:pPr>
        <w:pStyle w:val="166"/>
      </w:pPr>
      <w:r>
        <w:rPr>
          <w:rFonts w:hint="eastAsia"/>
        </w:rPr>
        <w:t>机关、团体、企业、事业单位和有固定的生产经营场所的个体工商户应负责管理本单位的电动自行车停放充电场所的消防安全管理工作；物业服务企业应负责其管理服务对象内的电动自行车停放充电场所的消防安全管理工作；充电设施运营管理单位应负责充电设施的安装、管理和维护。</w:t>
      </w:r>
    </w:p>
    <w:p w14:paraId="5BFC6FC9">
      <w:pPr>
        <w:pStyle w:val="166"/>
      </w:pPr>
      <w:r>
        <w:rPr>
          <w:rFonts w:hint="eastAsia"/>
        </w:rPr>
        <w:t>未设物业管理服务的村(居)民区，应明确该居民区的消防安全管理人，具体负责电动自行车停放充电场所的消防安全管理工作。</w:t>
      </w:r>
    </w:p>
    <w:p w14:paraId="1DB512A1">
      <w:pPr>
        <w:pStyle w:val="166"/>
      </w:pPr>
      <w:r>
        <w:rPr>
          <w:rFonts w:hint="eastAsia"/>
        </w:rPr>
        <w:t>电动自行车停放充电场所出租使用的，出租人应当确保出租的场所符合消防安全条件，出租人与承租人应当以书面形式明确双方消防安全责任。属于多产权建筑的，相关产权人、使用人应当确定或者委托统一管理人对消防安全实施统一管理。</w:t>
      </w:r>
    </w:p>
    <w:p w14:paraId="4348E132">
      <w:pPr>
        <w:pStyle w:val="106"/>
        <w:spacing w:before="156" w:after="156"/>
      </w:pPr>
      <w:bookmarkStart w:id="84" w:name="_Toc8f190658-9cad-46e7-a4e7-fe0c598f62fd"/>
      <w:bookmarkStart w:id="85" w:name="_Toc173007739"/>
      <w:r>
        <w:rPr>
          <w:rFonts w:hint="eastAsia"/>
        </w:rPr>
        <w:t>日常管理责任</w:t>
      </w:r>
      <w:bookmarkEnd w:id="84"/>
      <w:bookmarkEnd w:id="85"/>
    </w:p>
    <w:p w14:paraId="4A3AFD71">
      <w:pPr>
        <w:pStyle w:val="166"/>
      </w:pPr>
      <w:r>
        <w:rPr>
          <w:rFonts w:hint="eastAsia"/>
        </w:rPr>
        <w:t>电动自行车停放充电场所管理单位应履行下列职责：</w:t>
      </w:r>
    </w:p>
    <w:p w14:paraId="723DA028">
      <w:pPr>
        <w:numPr>
          <w:ilvl w:val="0"/>
          <w:numId w:val="34"/>
        </w:numPr>
        <w:adjustRightInd/>
        <w:spacing w:line="240" w:lineRule="auto"/>
      </w:pPr>
      <w:r>
        <w:rPr>
          <w:rFonts w:hint="eastAsia" w:ascii="宋体" w:hAnsi="宋体" w:cs="宋体"/>
        </w:rPr>
        <w:t>实行消防安全挂牌管理，主动公开消防安全责任人、管理人、维护人以及相关联系方式，并及时更新；</w:t>
      </w:r>
    </w:p>
    <w:p w14:paraId="2D3AA50A">
      <w:pPr>
        <w:numPr>
          <w:ilvl w:val="0"/>
          <w:numId w:val="34"/>
        </w:numPr>
        <w:adjustRightInd/>
        <w:spacing w:line="240" w:lineRule="auto"/>
      </w:pPr>
      <w:r>
        <w:rPr>
          <w:rFonts w:hint="eastAsia" w:ascii="宋体" w:hAnsi="宋体" w:cs="宋体"/>
        </w:rPr>
        <w:t>建立日常消防管理和防火检查巡查制度，明确专人负责，定期组织开展防火检查，加强夜间防火巡查。防火检查和巡查应如实填写检查和巡查记录，及时消除隐患。发现电动自行车违规停放、充电的，应当制止并组织清理；对拒不配合的，应当向相关部门报告；</w:t>
      </w:r>
    </w:p>
    <w:p w14:paraId="5039ABA3">
      <w:pPr>
        <w:numPr>
          <w:ilvl w:val="0"/>
          <w:numId w:val="34"/>
        </w:numPr>
        <w:adjustRightInd/>
        <w:spacing w:line="240" w:lineRule="auto"/>
      </w:pPr>
      <w:r>
        <w:rPr>
          <w:rFonts w:hint="eastAsia" w:ascii="宋体" w:hAnsi="宋体" w:cs="宋体"/>
        </w:rPr>
        <w:t>加强防范常识宣传和典型火灾案例警示教育，引导群众增强消防安全意识，每半年至少开展1次电动自行车火灾防范的消防宣传教育工作；</w:t>
      </w:r>
    </w:p>
    <w:p w14:paraId="301871FB">
      <w:pPr>
        <w:numPr>
          <w:ilvl w:val="0"/>
          <w:numId w:val="34"/>
        </w:numPr>
        <w:adjustRightInd/>
        <w:spacing w:line="240" w:lineRule="auto"/>
      </w:pPr>
      <w:r>
        <w:rPr>
          <w:rFonts w:hint="eastAsia" w:ascii="宋体" w:hAnsi="宋体" w:cs="宋体"/>
        </w:rPr>
        <w:t>针对电池火灾事故，制定灭火和应急疏散预案，每半年至少开展1次灭火疏散演练。</w:t>
      </w:r>
    </w:p>
    <w:p w14:paraId="7BD450AD">
      <w:pPr>
        <w:numPr>
          <w:ilvl w:val="0"/>
          <w:numId w:val="34"/>
        </w:numPr>
        <w:adjustRightInd/>
        <w:spacing w:line="240" w:lineRule="auto"/>
      </w:pPr>
      <w:r>
        <w:rPr>
          <w:rFonts w:hint="eastAsia" w:ascii="宋体" w:hAnsi="宋体" w:cs="宋体"/>
        </w:rPr>
        <w:t>在电动自行车集中停放充电场所就近位置建设微型消防站，每月至少开展1次训练，做好火灾处置准备工作；</w:t>
      </w:r>
    </w:p>
    <w:p w14:paraId="6D1F41C1">
      <w:pPr>
        <w:numPr>
          <w:ilvl w:val="0"/>
          <w:numId w:val="34"/>
        </w:numPr>
        <w:adjustRightInd/>
        <w:spacing w:line="240" w:lineRule="auto"/>
      </w:pPr>
      <w:r>
        <w:rPr>
          <w:rFonts w:hint="eastAsia" w:ascii="宋体" w:hAnsi="宋体" w:cs="宋体"/>
        </w:rPr>
        <w:t>定期组织相关管理人员开展消防安全培训，内容包括但不限于建筑消防设施和器材使用、火灾报警、电池火灾应急处置方法等。</w:t>
      </w:r>
    </w:p>
    <w:p w14:paraId="40A6E500">
      <w:pPr>
        <w:pStyle w:val="166"/>
      </w:pPr>
      <w:r>
        <w:rPr>
          <w:rFonts w:hint="eastAsia"/>
        </w:rPr>
        <w:t>电动自行车充电设施运营单位应当做好充电设施的日常安全维护工作，确保配电、充电、消防等设施完整；及时清理不能提供服务或者存在消防安全隐患的设施，保证相关设施处于正常运行状态。电动自行车充电设施应每半年至少开展1次检修，检修作业应由相关专业人员实施。</w:t>
      </w:r>
    </w:p>
    <w:p w14:paraId="5CFEFDBC">
      <w:pPr>
        <w:pStyle w:val="106"/>
        <w:spacing w:before="156" w:after="156"/>
      </w:pPr>
      <w:bookmarkStart w:id="86" w:name="_Toca952c6d8-5dcd-4d62-ac2c-3d138699161a"/>
      <w:bookmarkStart w:id="87" w:name="_Toc173007740"/>
      <w:r>
        <w:rPr>
          <w:rFonts w:hint="eastAsia"/>
        </w:rPr>
        <w:t>消防设施器材管理</w:t>
      </w:r>
      <w:bookmarkEnd w:id="86"/>
      <w:bookmarkEnd w:id="87"/>
    </w:p>
    <w:p w14:paraId="69CF89B3">
      <w:pPr>
        <w:pStyle w:val="166"/>
      </w:pPr>
      <w:r>
        <w:rPr>
          <w:rFonts w:hint="eastAsia"/>
        </w:rPr>
        <w:t>应定期对消防设施、器材进行维护保养，且应符合GB 25201、DB32/T 4696等相关标准规定。</w:t>
      </w:r>
    </w:p>
    <w:p w14:paraId="4F73D7EF">
      <w:pPr>
        <w:pStyle w:val="166"/>
      </w:pPr>
      <w:r>
        <w:rPr>
          <w:rFonts w:hint="eastAsia"/>
        </w:rPr>
        <w:t>消防设施器材周边应有明显标识，不应遮挡、损坏、挪用或者擅自拆除、停用消防设施和器材。</w:t>
      </w:r>
    </w:p>
    <w:p w14:paraId="18F8170F">
      <w:pPr>
        <w:pStyle w:val="166"/>
      </w:pPr>
      <w:r>
        <w:rPr>
          <w:rFonts w:hint="eastAsia"/>
        </w:rPr>
        <w:t>使用电池供电的独立式火灾探测报警器，应定期更换电池，其报警信号应反馈至消防控制室或有人值守的值班室。</w:t>
      </w:r>
    </w:p>
    <w:p w14:paraId="7DFB3EDD">
      <w:pPr>
        <w:pStyle w:val="166"/>
      </w:pPr>
      <w:r>
        <w:rPr>
          <w:rFonts w:hint="eastAsia"/>
        </w:rPr>
        <w:t>火灾自动报警系统、消火栓系统、自动喷水灭火系统等消防设施宜接入城市消防联网监测系统。</w:t>
      </w:r>
    </w:p>
    <w:p w14:paraId="080056D3">
      <w:pPr>
        <w:pStyle w:val="166"/>
      </w:pPr>
      <w:r>
        <w:rPr>
          <w:rFonts w:hint="eastAsia"/>
        </w:rPr>
        <w:t>消防系统的运行维护应由专业技术人员负责，与建筑消防设施统一管理，确保系统不间断正常运行。</w:t>
      </w:r>
    </w:p>
    <w:p w14:paraId="5F42BD40">
      <w:pPr>
        <w:pStyle w:val="106"/>
        <w:spacing w:before="156" w:after="156"/>
      </w:pPr>
      <w:bookmarkStart w:id="88" w:name="_Toc1adbcda6-d7e1-439c-a531-cd44a2b6b3d7"/>
      <w:bookmarkStart w:id="89" w:name="_Toc173007741"/>
      <w:r>
        <w:rPr>
          <w:rFonts w:hint="eastAsia"/>
        </w:rPr>
        <w:t>停放充电管理</w:t>
      </w:r>
      <w:bookmarkEnd w:id="88"/>
      <w:bookmarkEnd w:id="89"/>
    </w:p>
    <w:p w14:paraId="6E3798DE">
      <w:pPr>
        <w:pStyle w:val="166"/>
      </w:pPr>
      <w:r>
        <w:rPr>
          <w:rFonts w:hint="eastAsia"/>
        </w:rPr>
        <w:t>电动自行车库内的电动自行车应分组停放，每组停车位数量单排不宜超过</w:t>
      </w:r>
      <w:r>
        <w:t>20</w:t>
      </w:r>
      <w:r>
        <w:rPr>
          <w:rFonts w:hint="eastAsia"/>
        </w:rPr>
        <w:t>辆，组与组之间应设置间距不小于</w:t>
      </w:r>
      <w:r>
        <w:t>2.0m</w:t>
      </w:r>
      <w:r>
        <w:rPr>
          <w:rFonts w:hint="eastAsia"/>
        </w:rPr>
        <w:t>的隔离带，或采用高度不低于</w:t>
      </w:r>
      <w:r>
        <w:t>1.5 m</w:t>
      </w:r>
      <w:r>
        <w:rPr>
          <w:rFonts w:hint="eastAsia"/>
        </w:rPr>
        <w:t>、耐火极限不低于</w:t>
      </w:r>
      <w:r>
        <w:t xml:space="preserve"> 1.00 h</w:t>
      </w:r>
      <w:r>
        <w:rPr>
          <w:rFonts w:hint="eastAsia"/>
        </w:rPr>
        <w:t>的不燃烧体隔墙分隔。充电区域与停放区域之间应设置间距不小于2.0m的隔离带，或采用高度不低于1.5m、耐火极限不低于2.00h的不燃烧体隔墙分隔。</w:t>
      </w:r>
    </w:p>
    <w:p w14:paraId="0F58A5A3">
      <w:pPr>
        <w:pStyle w:val="166"/>
      </w:pPr>
      <w:r>
        <w:rPr>
          <w:rFonts w:hint="eastAsia"/>
        </w:rPr>
        <w:t>电动自行车停放充电场所配电箱、充电线路及充电插座等应安装在不燃烧材料上。</w:t>
      </w:r>
    </w:p>
    <w:p w14:paraId="3BA90817">
      <w:pPr>
        <w:pStyle w:val="166"/>
      </w:pPr>
      <w:r>
        <w:rPr>
          <w:rFonts w:hint="eastAsia"/>
        </w:rPr>
        <w:t>每个充电车位均应设置明显的标识界线，每个充电车位宽度不小于0.8m，长度不小于2.0m。设置充电车位时，宜结合实际设置适当数量的三轮车和其他电动非机动车的充电车位。充电车位的净高不小于2.0m。</w:t>
      </w:r>
    </w:p>
    <w:p w14:paraId="08E79571">
      <w:pPr>
        <w:pStyle w:val="166"/>
      </w:pPr>
      <w:r>
        <w:rPr>
          <w:rFonts w:hint="eastAsia"/>
        </w:rPr>
        <w:t>管理单位应按下列要求落实分区、分类管理：</w:t>
      </w:r>
    </w:p>
    <w:p w14:paraId="62728E21">
      <w:pPr>
        <w:numPr>
          <w:ilvl w:val="0"/>
          <w:numId w:val="35"/>
        </w:numPr>
        <w:adjustRightInd/>
        <w:spacing w:line="240" w:lineRule="auto"/>
        <w:ind w:left="794" w:hanging="397"/>
      </w:pPr>
      <w:r>
        <w:rPr>
          <w:rFonts w:hint="eastAsia" w:ascii="宋体" w:hAnsi="宋体" w:cs="宋体"/>
        </w:rPr>
        <w:t>充电车位和停放车位应设置明显的界线标识并加强分区集中管理；</w:t>
      </w:r>
    </w:p>
    <w:p w14:paraId="5C8019AE">
      <w:pPr>
        <w:numPr>
          <w:ilvl w:val="0"/>
          <w:numId w:val="35"/>
        </w:numPr>
        <w:adjustRightInd/>
        <w:spacing w:line="240" w:lineRule="auto"/>
        <w:ind w:left="794" w:hanging="397"/>
      </w:pPr>
      <w:r>
        <w:rPr>
          <w:rFonts w:hint="eastAsia" w:ascii="宋体" w:hAnsi="宋体" w:cs="宋体"/>
        </w:rPr>
        <w:t>两轮、三轮和其他类型车辆车位宜分类集中设置；</w:t>
      </w:r>
    </w:p>
    <w:p w14:paraId="5BB50A18">
      <w:pPr>
        <w:numPr>
          <w:ilvl w:val="0"/>
          <w:numId w:val="35"/>
        </w:numPr>
        <w:adjustRightInd/>
        <w:spacing w:line="240" w:lineRule="auto"/>
        <w:ind w:left="794" w:hanging="397"/>
      </w:pPr>
      <w:r>
        <w:rPr>
          <w:rFonts w:hint="eastAsia" w:ascii="宋体" w:hAnsi="宋体" w:cs="宋体"/>
        </w:rPr>
        <w:t>锂电池充电车位和铅酸电池充电车位宜进行差别标识并加强分类管理。</w:t>
      </w:r>
    </w:p>
    <w:p w14:paraId="353E554B">
      <w:pPr>
        <w:pStyle w:val="166"/>
      </w:pPr>
      <w:r>
        <w:rPr>
          <w:rFonts w:hint="eastAsia"/>
        </w:rPr>
        <w:t>电动自行车使用人应遵守分区、分类管理，依照标识将电动自行车停入对应的车位。</w:t>
      </w:r>
    </w:p>
    <w:p w14:paraId="0F0989B2">
      <w:pPr>
        <w:pStyle w:val="166"/>
      </w:pPr>
      <w:r>
        <w:rPr>
          <w:rFonts w:hint="eastAsia"/>
        </w:rPr>
        <w:t>除充（换）电站外，其他场所不应在室内采用货架、货柜等形式进行电动自行车电池的集中充电。</w:t>
      </w:r>
    </w:p>
    <w:p w14:paraId="76C65B0A">
      <w:pPr>
        <w:pStyle w:val="166"/>
      </w:pPr>
      <w:r>
        <w:rPr>
          <w:rFonts w:hint="eastAsia"/>
        </w:rPr>
        <w:t>电动自行车集中停放充电、充（换）电柜处应设置显著的警示标识，提示电池充电的危险性，并标明设置必要的参数和操作说明。</w:t>
      </w:r>
    </w:p>
    <w:p w14:paraId="69A320F9">
      <w:pPr>
        <w:pStyle w:val="233"/>
        <w:wordWrap w:val="0"/>
        <w:jc w:val="both"/>
      </w:pPr>
    </w:p>
    <w:p w14:paraId="75079604">
      <w:pPr>
        <w:sectPr>
          <w:headerReference r:id="rId14" w:type="default"/>
          <w:footerReference r:id="rId15" w:type="default"/>
          <w:pgSz w:w="11906" w:h="16838"/>
          <w:pgMar w:top="1417" w:right="1134" w:bottom="1134" w:left="1417" w:header="850" w:footer="680" w:gutter="0"/>
          <w:cols w:space="425" w:num="1"/>
          <w:docGrid w:type="lines" w:linePitch="312" w:charSpace="0"/>
        </w:sectPr>
      </w:pPr>
    </w:p>
    <w:p w14:paraId="02F3A938">
      <w:pPr>
        <w:pStyle w:val="236"/>
      </w:pPr>
      <w:bookmarkStart w:id="90" w:name="_Toc76c22f17-0445-407e-826c-ea2c2527ac18"/>
      <w:bookmarkStart w:id="91" w:name="_Toc173007742"/>
      <w:r>
        <w:rPr>
          <w:rFonts w:hint="eastAsia" w:hAnsi="黑体" w:cs="黑体"/>
        </w:rPr>
        <w:t>参 考 文 献</w:t>
      </w:r>
      <w:bookmarkEnd w:id="90"/>
      <w:bookmarkEnd w:id="91"/>
    </w:p>
    <w:p w14:paraId="1D43FFFE">
      <w:pPr>
        <w:numPr>
          <w:ilvl w:val="0"/>
          <w:numId w:val="36"/>
        </w:numPr>
        <w:adjustRightInd/>
        <w:spacing w:line="240" w:lineRule="auto"/>
        <w:ind w:firstLine="420" w:firstLineChars="200"/>
      </w:pPr>
      <w:r>
        <w:rPr>
          <w:rFonts w:hint="eastAsia" w:ascii="宋体" w:hAnsi="宋体" w:cs="宋体"/>
        </w:rPr>
        <w:t>中华人民共和国消防法 2021年4月29日</w:t>
      </w:r>
    </w:p>
    <w:p w14:paraId="1949A59B">
      <w:pPr>
        <w:numPr>
          <w:ilvl w:val="0"/>
          <w:numId w:val="36"/>
        </w:numPr>
        <w:adjustRightInd/>
        <w:spacing w:line="240" w:lineRule="auto"/>
        <w:ind w:firstLine="420" w:firstLineChars="200"/>
      </w:pPr>
      <w:r>
        <w:rPr>
          <w:rFonts w:hint="eastAsia" w:ascii="宋体" w:hAnsi="宋体" w:cs="宋体"/>
        </w:rPr>
        <w:t>消防安全责任制实施办法 2017年10月29日</w:t>
      </w:r>
    </w:p>
    <w:p w14:paraId="04279032">
      <w:pPr>
        <w:numPr>
          <w:ilvl w:val="0"/>
          <w:numId w:val="36"/>
        </w:numPr>
        <w:adjustRightInd/>
        <w:spacing w:line="240" w:lineRule="auto"/>
        <w:ind w:firstLine="420" w:firstLineChars="200"/>
      </w:pPr>
      <w:r>
        <w:rPr>
          <w:rFonts w:hint="eastAsia" w:ascii="宋体" w:hAnsi="宋体" w:cs="宋体"/>
        </w:rPr>
        <w:t>应急管理部令第5号 高层民用建筑消防安全管理规定</w:t>
      </w:r>
    </w:p>
    <w:p w14:paraId="0DA95001">
      <w:pPr>
        <w:numPr>
          <w:ilvl w:val="0"/>
          <w:numId w:val="36"/>
        </w:numPr>
        <w:adjustRightInd/>
        <w:spacing w:line="240" w:lineRule="auto"/>
        <w:ind w:firstLine="420" w:firstLineChars="200"/>
      </w:pPr>
      <w:r>
        <w:rPr>
          <w:rFonts w:hint="eastAsia" w:ascii="宋体" w:hAnsi="宋体" w:cs="宋体"/>
        </w:rPr>
        <w:t>公安部第61号令 机关、团体、企业、事业单位消防安全管理规定 2001年11月14日</w:t>
      </w:r>
    </w:p>
    <w:p w14:paraId="3C0F670C">
      <w:pPr>
        <w:numPr>
          <w:ilvl w:val="0"/>
          <w:numId w:val="36"/>
        </w:numPr>
        <w:adjustRightInd/>
        <w:spacing w:line="240" w:lineRule="auto"/>
        <w:ind w:firstLine="420" w:firstLineChars="200"/>
      </w:pPr>
      <w:r>
        <w:rPr>
          <w:rFonts w:hint="eastAsia" w:ascii="宋体" w:hAnsi="宋体" w:cs="宋体"/>
        </w:rPr>
        <w:t>江苏省消防条例 2023年1月12日</w:t>
      </w:r>
    </w:p>
    <w:p w14:paraId="1137ACDA">
      <w:pPr>
        <w:numPr>
          <w:ilvl w:val="0"/>
          <w:numId w:val="36"/>
        </w:numPr>
        <w:adjustRightInd/>
        <w:spacing w:line="240" w:lineRule="auto"/>
        <w:ind w:firstLine="420" w:firstLineChars="200"/>
      </w:pPr>
      <w:r>
        <w:rPr>
          <w:rFonts w:hint="eastAsia" w:ascii="宋体" w:hAnsi="宋体" w:cs="宋体"/>
        </w:rPr>
        <w:t>省政府令第155号 江苏省住宅物业消防安全管理规定</w:t>
      </w:r>
    </w:p>
    <w:p w14:paraId="37A71314">
      <w:pPr>
        <w:numPr>
          <w:ilvl w:val="0"/>
          <w:numId w:val="36"/>
        </w:numPr>
        <w:adjustRightInd/>
        <w:spacing w:line="240" w:lineRule="auto"/>
        <w:ind w:firstLine="420" w:firstLineChars="200"/>
        <w:rPr>
          <w:rFonts w:ascii="宋体" w:hAnsi="宋体" w:cs="宋体"/>
        </w:rPr>
      </w:pPr>
      <w:r>
        <w:rPr>
          <w:rFonts w:hint="eastAsia" w:ascii="宋体" w:hAnsi="宋体" w:cs="宋体"/>
        </w:rPr>
        <w:t xml:space="preserve">国家消防救援局消防函﹝2024﹞41号 《建筑架空层电动自行车停放充电消防安全要求（试行）》 </w:t>
      </w:r>
    </w:p>
    <w:p w14:paraId="6E0C74D3">
      <w:pPr>
        <w:pStyle w:val="57"/>
        <w:ind w:firstLine="420"/>
      </w:pPr>
    </w:p>
    <w:bookmarkEnd w:id="24"/>
    <w:p w14:paraId="3FDF6490">
      <w:pPr>
        <w:pStyle w:val="57"/>
        <w:ind w:firstLine="0" w:firstLineChars="0"/>
        <w:jc w:val="center"/>
      </w:pPr>
      <w:bookmarkStart w:id="92" w:name="BookMark8"/>
      <w:r>
        <w:drawing>
          <wp:inline distT="0" distB="0" distL="0" distR="0">
            <wp:extent cx="1485900" cy="317500"/>
            <wp:effectExtent l="19050" t="0" r="0" b="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8" cstate="print"/>
                    <a:stretch>
                      <a:fillRect/>
                    </a:stretch>
                  </pic:blipFill>
                  <pic:spPr>
                    <a:xfrm>
                      <a:off x="0" y="0"/>
                      <a:ext cx="1485900" cy="317500"/>
                    </a:xfrm>
                    <a:prstGeom prst="rect">
                      <a:avLst/>
                    </a:prstGeom>
                  </pic:spPr>
                </pic:pic>
              </a:graphicData>
            </a:graphic>
          </wp:inline>
        </w:drawing>
      </w:r>
      <w:bookmarkEnd w:id="92"/>
    </w:p>
    <w:sectPr>
      <w:pgSz w:w="11906" w:h="16838"/>
      <w:pgMar w:top="2410" w:right="1134" w:bottom="1134" w:left="1134" w:header="1418" w:footer="1134" w:gutter="284"/>
      <w:pgNumType w:start="1"/>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altName w:val="Arial Unicode MS"/>
    <w:panose1 w:val="00000000000000000000"/>
    <w:charset w:val="86"/>
    <w:family w:val="auto"/>
    <w:pitch w:val="default"/>
    <w:sig w:usb0="00000000" w:usb1="00000000" w:usb2="00000016" w:usb3="00000000" w:csb0="0004000F" w:csb1="00000000"/>
  </w:font>
  <w:font w:name="等线 Light">
    <w:altName w:val="宋体"/>
    <w:panose1 w:val="00000000000000000000"/>
    <w:charset w:val="86"/>
    <w:family w:val="auto"/>
    <w:pitch w:val="default"/>
    <w:sig w:usb0="00000000" w:usb1="00000000" w:usb2="00000016" w:usb3="00000000" w:csb0="0004000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D54B0">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BCE04">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54653">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E5CCA">
    <w:pPr>
      <w:pStyle w:val="53"/>
    </w:pPr>
    <w:r>
      <w:fldChar w:fldCharType="begin"/>
    </w:r>
    <w:r>
      <w:instrText xml:space="preserve">PAGE   \* MERGEFORMAT</w:instrText>
    </w:r>
    <w:r>
      <w:fldChar w:fldCharType="separate"/>
    </w:r>
    <w:r>
      <w:rPr>
        <w:lang w:val="zh-CN"/>
      </w:rP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B52C6">
    <w:pPr>
      <w:pStyle w:val="238"/>
    </w:pPr>
    <w:r>
      <w:rPr>
        <w:rFonts w:ascii="宋体" w:hAnsi="宋体" w:cs="宋体"/>
        <w:bCs/>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A2DC0">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2B7E2">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FAB43">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D295D">
    <w:pPr>
      <w:pStyle w:val="62"/>
    </w:pPr>
    <w:r>
      <w:fldChar w:fldCharType="begin"/>
    </w:r>
    <w:r>
      <w:instrText xml:space="preserve"> STYLEREF  标准文件_文件编号  \* MERGEFORMAT </w:instrText>
    </w:r>
    <w:r>
      <w:fldChar w:fldCharType="separate"/>
    </w:r>
    <w:r>
      <w:t>DB3206/TXXXX—XXXX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CD606">
    <w:pPr>
      <w:pStyle w:val="19"/>
      <w:jc w:val="right"/>
      <w:rPr>
        <w:lang w:val="fr-FR"/>
      </w:rPr>
    </w:pPr>
    <w:r>
      <w:fldChar w:fldCharType="begin"/>
    </w:r>
    <w:r>
      <w:instrText xml:space="preserve"> STYLEREF  标准文件_文件编号  \* MERGEFORMAT </w:instrText>
    </w:r>
    <w:r>
      <w:fldChar w:fldCharType="separate"/>
    </w:r>
    <w:r>
      <w:t>DB3206/TXXXX—XXXX</w:t>
    </w:r>
    <w:r>
      <w:rPr>
        <w:lang w:val="fr-FR"/>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5AF3E">
    <w:pPr>
      <w:jc w:val="right"/>
    </w:pPr>
    <w:r>
      <w:rPr>
        <w:rFonts w:hint="eastAsia" w:ascii="黑体" w:hAnsi="黑体" w:cs="黑体"/>
      </w:rPr>
      <w:t xml:space="preserve">DB3206/T </w:t>
    </w:r>
    <w:r>
      <w:rPr>
        <w:rFonts w:ascii="黑体" w:hAnsi="黑体" w:cs="黑体"/>
      </w:rPr>
      <w:t>000—2024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8C54D61"/>
    <w:multiLevelType w:val="singleLevel"/>
    <w:tmpl w:val="28C54D61"/>
    <w:lvl w:ilvl="0" w:tentative="0">
      <w:start w:val="1"/>
      <w:numFmt w:val="lowerLetter"/>
      <w:lvlText w:val="%1)"/>
      <w:lvlJc w:val="left"/>
      <w:pPr>
        <w:tabs>
          <w:tab w:val="left" w:pos="420"/>
        </w:tabs>
        <w:wordWrap w:val="0"/>
        <w:autoSpaceDE w:val="0"/>
        <w:autoSpaceDN w:val="0"/>
      </w:pPr>
      <w:rPr>
        <w:rFonts w:hint="default" w:ascii="宋体" w:hAnsi="宋体" w:eastAsia="宋体" w:cs="宋体"/>
        <w:snapToGrid w:val="0"/>
        <w:sz w:val="21"/>
        <w:szCs w:val="21"/>
      </w:rPr>
    </w:lvl>
  </w:abstractNum>
  <w:abstractNum w:abstractNumId="11">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34805C7E"/>
    <w:multiLevelType w:val="singleLevel"/>
    <w:tmpl w:val="34805C7E"/>
    <w:lvl w:ilvl="0" w:tentative="0">
      <w:start w:val="1"/>
      <w:numFmt w:val="lowerLetter"/>
      <w:lvlText w:val="%1)"/>
      <w:lvlJc w:val="left"/>
      <w:pPr>
        <w:tabs>
          <w:tab w:val="left" w:pos="420"/>
        </w:tabs>
        <w:wordWrap w:val="0"/>
        <w:autoSpaceDE w:val="0"/>
        <w:autoSpaceDN w:val="0"/>
      </w:pPr>
      <w:rPr>
        <w:rFonts w:hint="default" w:ascii="宋体" w:hAnsi="宋体" w:eastAsia="宋体" w:cs="宋体"/>
        <w:snapToGrid w:val="0"/>
        <w:sz w:val="21"/>
        <w:szCs w:val="21"/>
      </w:rPr>
    </w:lvl>
  </w:abstractNum>
  <w:abstractNum w:abstractNumId="14">
    <w:nsid w:val="42213078"/>
    <w:multiLevelType w:val="singleLevel"/>
    <w:tmpl w:val="42213078"/>
    <w:lvl w:ilvl="0" w:tentative="0">
      <w:start w:val="1"/>
      <w:numFmt w:val="lowerLetter"/>
      <w:lvlText w:val="%1)"/>
      <w:lvlJc w:val="left"/>
      <w:pPr>
        <w:tabs>
          <w:tab w:val="left" w:pos="420"/>
        </w:tabs>
        <w:wordWrap w:val="0"/>
        <w:autoSpaceDE w:val="0"/>
        <w:autoSpaceDN w:val="0"/>
      </w:pPr>
      <w:rPr>
        <w:rFonts w:hint="default" w:ascii="宋体" w:hAnsi="宋体" w:eastAsia="宋体" w:cs="宋体"/>
        <w:snapToGrid w:val="0"/>
        <w:sz w:val="21"/>
        <w:szCs w:val="21"/>
      </w:rPr>
    </w:lvl>
  </w:abstractNum>
  <w:abstractNum w:abstractNumId="15">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6">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7">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8">
    <w:nsid w:val="4BA0103E"/>
    <w:multiLevelType w:val="singleLevel"/>
    <w:tmpl w:val="4BA0103E"/>
    <w:lvl w:ilvl="0" w:tentative="0">
      <w:start w:val="1"/>
      <w:numFmt w:val="lowerLetter"/>
      <w:lvlText w:val="%1)"/>
      <w:lvlJc w:val="left"/>
      <w:pPr>
        <w:tabs>
          <w:tab w:val="left" w:pos="420"/>
        </w:tabs>
        <w:wordWrap w:val="0"/>
        <w:autoSpaceDE w:val="0"/>
        <w:autoSpaceDN w:val="0"/>
      </w:pPr>
      <w:rPr>
        <w:rFonts w:hint="default" w:ascii="宋体" w:hAnsi="宋体" w:eastAsia="宋体" w:cs="宋体"/>
        <w:snapToGrid w:val="0"/>
        <w:sz w:val="21"/>
        <w:szCs w:val="21"/>
      </w:rPr>
    </w:lvl>
  </w:abstractNum>
  <w:abstractNum w:abstractNumId="19">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0">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1">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2">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3">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59CB7984"/>
    <w:multiLevelType w:val="singleLevel"/>
    <w:tmpl w:val="59CB7984"/>
    <w:lvl w:ilvl="0" w:tentative="0">
      <w:start w:val="1"/>
      <w:numFmt w:val="decimal"/>
      <w:lvlText w:val="[%1]"/>
      <w:lvlJc w:val="left"/>
      <w:pPr>
        <w:tabs>
          <w:tab w:val="left" w:pos="420"/>
        </w:tabs>
        <w:wordWrap w:val="0"/>
        <w:autoSpaceDE w:val="0"/>
        <w:autoSpaceDN w:val="0"/>
      </w:pPr>
      <w:rPr>
        <w:rFonts w:hint="default" w:ascii="宋体" w:hAnsi="宋体" w:eastAsia="宋体" w:cs="宋体"/>
        <w:snapToGrid w:val="0"/>
        <w:sz w:val="21"/>
        <w:szCs w:val="21"/>
      </w:rPr>
    </w:lvl>
  </w:abstractNum>
  <w:abstractNum w:abstractNumId="25">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6">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7">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8">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9">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0">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6"/>
      <w:suff w:val="nothing"/>
      <w:lvlText w:val="%1%2.%3.%4　"/>
      <w:lvlJc w:val="left"/>
      <w:pPr>
        <w:ind w:left="567"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3">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4">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5">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32"/>
  </w:num>
  <w:num w:numId="3">
    <w:abstractNumId w:val="5"/>
  </w:num>
  <w:num w:numId="4">
    <w:abstractNumId w:val="28"/>
  </w:num>
  <w:num w:numId="5">
    <w:abstractNumId w:val="22"/>
  </w:num>
  <w:num w:numId="6">
    <w:abstractNumId w:val="16"/>
  </w:num>
  <w:num w:numId="7">
    <w:abstractNumId w:val="8"/>
  </w:num>
  <w:num w:numId="8">
    <w:abstractNumId w:val="3"/>
  </w:num>
  <w:num w:numId="9">
    <w:abstractNumId w:val="9"/>
  </w:num>
  <w:num w:numId="10">
    <w:abstractNumId w:val="20"/>
  </w:num>
  <w:num w:numId="11">
    <w:abstractNumId w:val="30"/>
  </w:num>
  <w:num w:numId="12">
    <w:abstractNumId w:val="12"/>
  </w:num>
  <w:num w:numId="13">
    <w:abstractNumId w:val="15"/>
  </w:num>
  <w:num w:numId="14">
    <w:abstractNumId w:val="7"/>
  </w:num>
  <w:num w:numId="15">
    <w:abstractNumId w:val="23"/>
  </w:num>
  <w:num w:numId="16">
    <w:abstractNumId w:val="26"/>
  </w:num>
  <w:num w:numId="17">
    <w:abstractNumId w:val="21"/>
  </w:num>
  <w:num w:numId="18">
    <w:abstractNumId w:val="34"/>
  </w:num>
  <w:num w:numId="19">
    <w:abstractNumId w:val="19"/>
  </w:num>
  <w:num w:numId="20">
    <w:abstractNumId w:val="1"/>
  </w:num>
  <w:num w:numId="21">
    <w:abstractNumId w:val="11"/>
  </w:num>
  <w:num w:numId="22">
    <w:abstractNumId w:val="35"/>
  </w:num>
  <w:num w:numId="23">
    <w:abstractNumId w:val="25"/>
  </w:num>
  <w:num w:numId="24">
    <w:abstractNumId w:val="6"/>
  </w:num>
  <w:num w:numId="25">
    <w:abstractNumId w:val="31"/>
  </w:num>
  <w:num w:numId="26">
    <w:abstractNumId w:val="33"/>
  </w:num>
  <w:num w:numId="27">
    <w:abstractNumId w:val="2"/>
  </w:num>
  <w:num w:numId="28">
    <w:abstractNumId w:val="4"/>
  </w:num>
  <w:num w:numId="29">
    <w:abstractNumId w:val="17"/>
  </w:num>
  <w:num w:numId="30">
    <w:abstractNumId w:val="29"/>
  </w:num>
  <w:num w:numId="31">
    <w:abstractNumId w:val="27"/>
  </w:num>
  <w:num w:numId="32">
    <w:abstractNumId w:val="13"/>
  </w:num>
  <w:num w:numId="33">
    <w:abstractNumId w:val="10"/>
  </w:num>
  <w:num w:numId="34">
    <w:abstractNumId w:val="18"/>
  </w:num>
  <w:num w:numId="35">
    <w:abstractNumId w:val="14"/>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02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5C89"/>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B6A96"/>
    <w:rsid w:val="000C0F6C"/>
    <w:rsid w:val="000C11DB"/>
    <w:rsid w:val="000C1492"/>
    <w:rsid w:val="000C2FBD"/>
    <w:rsid w:val="000C4B41"/>
    <w:rsid w:val="000C57D6"/>
    <w:rsid w:val="000C6362"/>
    <w:rsid w:val="000C7666"/>
    <w:rsid w:val="000D0A9C"/>
    <w:rsid w:val="000D1795"/>
    <w:rsid w:val="000D329A"/>
    <w:rsid w:val="000D4B9C"/>
    <w:rsid w:val="000D4EB6"/>
    <w:rsid w:val="000D5F9D"/>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081"/>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8FD"/>
    <w:rsid w:val="00173FB1"/>
    <w:rsid w:val="00176DFD"/>
    <w:rsid w:val="001852C9"/>
    <w:rsid w:val="00186B45"/>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A3C"/>
    <w:rsid w:val="00250B25"/>
    <w:rsid w:val="00250BBE"/>
    <w:rsid w:val="002515C2"/>
    <w:rsid w:val="0025194F"/>
    <w:rsid w:val="0026064B"/>
    <w:rsid w:val="0026148A"/>
    <w:rsid w:val="00262696"/>
    <w:rsid w:val="00263D25"/>
    <w:rsid w:val="002643C3"/>
    <w:rsid w:val="00264A0C"/>
    <w:rsid w:val="00266EEB"/>
    <w:rsid w:val="00267EF4"/>
    <w:rsid w:val="00270CB8"/>
    <w:rsid w:val="00272B08"/>
    <w:rsid w:val="00281BB8"/>
    <w:rsid w:val="00281E9E"/>
    <w:rsid w:val="00282405"/>
    <w:rsid w:val="00284246"/>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0A60"/>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C6EEB"/>
    <w:rsid w:val="003D006D"/>
    <w:rsid w:val="003D0519"/>
    <w:rsid w:val="003D0FF6"/>
    <w:rsid w:val="003D262C"/>
    <w:rsid w:val="003D6038"/>
    <w:rsid w:val="003D6D61"/>
    <w:rsid w:val="003E01CE"/>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56733"/>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262"/>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574CB"/>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46AA"/>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23EA"/>
    <w:rsid w:val="006F03A8"/>
    <w:rsid w:val="006F0C2E"/>
    <w:rsid w:val="006F2ACA"/>
    <w:rsid w:val="006F2ADC"/>
    <w:rsid w:val="006F2BFE"/>
    <w:rsid w:val="006F31E9"/>
    <w:rsid w:val="006F6284"/>
    <w:rsid w:val="007002C5"/>
    <w:rsid w:val="00704387"/>
    <w:rsid w:val="0070602D"/>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566"/>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1B4A"/>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4F3D"/>
    <w:rsid w:val="0099551B"/>
    <w:rsid w:val="00997BF1"/>
    <w:rsid w:val="009A089C"/>
    <w:rsid w:val="009A118E"/>
    <w:rsid w:val="009A21CD"/>
    <w:rsid w:val="009A278C"/>
    <w:rsid w:val="009A2BC2"/>
    <w:rsid w:val="009A42C1"/>
    <w:rsid w:val="009A5429"/>
    <w:rsid w:val="009A72AD"/>
    <w:rsid w:val="009B09E0"/>
    <w:rsid w:val="009B0BC5"/>
    <w:rsid w:val="009B1247"/>
    <w:rsid w:val="009B17D4"/>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5147"/>
    <w:rsid w:val="00A06A6B"/>
    <w:rsid w:val="00A07E47"/>
    <w:rsid w:val="00A129D0"/>
    <w:rsid w:val="00A12C33"/>
    <w:rsid w:val="00A138BA"/>
    <w:rsid w:val="00A14C8E"/>
    <w:rsid w:val="00A153D9"/>
    <w:rsid w:val="00A15F09"/>
    <w:rsid w:val="00A169B6"/>
    <w:rsid w:val="00A21EF2"/>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026"/>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9E5"/>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3DA"/>
    <w:rsid w:val="00D27582"/>
    <w:rsid w:val="00D27EC4"/>
    <w:rsid w:val="00D323EE"/>
    <w:rsid w:val="00D32719"/>
    <w:rsid w:val="00D33333"/>
    <w:rsid w:val="00D33457"/>
    <w:rsid w:val="00D352A2"/>
    <w:rsid w:val="00D4162B"/>
    <w:rsid w:val="00D4514F"/>
    <w:rsid w:val="00D451E2"/>
    <w:rsid w:val="00D45E89"/>
    <w:rsid w:val="00D45E8D"/>
    <w:rsid w:val="00D466AE"/>
    <w:rsid w:val="00D4734F"/>
    <w:rsid w:val="00D51BF3"/>
    <w:rsid w:val="00D66846"/>
    <w:rsid w:val="00D673EA"/>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73F7"/>
    <w:rsid w:val="00DB7DFB"/>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43C7"/>
    <w:rsid w:val="00DE6E81"/>
    <w:rsid w:val="00DE6EFF"/>
    <w:rsid w:val="00DE703F"/>
    <w:rsid w:val="00DE7595"/>
    <w:rsid w:val="00DF1961"/>
    <w:rsid w:val="00DF44DE"/>
    <w:rsid w:val="00DF5F11"/>
    <w:rsid w:val="00DF762B"/>
    <w:rsid w:val="00E01138"/>
    <w:rsid w:val="00E02DFB"/>
    <w:rsid w:val="00E030F9"/>
    <w:rsid w:val="00E0311A"/>
    <w:rsid w:val="00E03138"/>
    <w:rsid w:val="00E06404"/>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0653"/>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1AA4"/>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2C23"/>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4E4B16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Document Map"/>
    <w:basedOn w:val="1"/>
    <w:link w:val="231"/>
    <w:semiHidden/>
    <w:unhideWhenUsed/>
    <w:qFormat/>
    <w:uiPriority w:val="99"/>
    <w:rPr>
      <w:rFonts w:ascii="宋体"/>
      <w:sz w:val="18"/>
      <w:szCs w:val="18"/>
    </w:rPr>
  </w:style>
  <w:style w:type="paragraph" w:styleId="14">
    <w:name w:val="Body Text"/>
    <w:basedOn w:val="1"/>
    <w:link w:val="87"/>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6"/>
    <w:semiHidden/>
    <w:unhideWhenUsed/>
    <w:qFormat/>
    <w:uiPriority w:val="99"/>
    <w:rPr>
      <w:sz w:val="18"/>
      <w:szCs w:val="18"/>
    </w:rPr>
  </w:style>
  <w:style w:type="paragraph" w:styleId="18">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4"/>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Char"/>
    <w:link w:val="2"/>
    <w:qFormat/>
    <w:uiPriority w:val="0"/>
    <w:rPr>
      <w:rFonts w:ascii="Times New Roman" w:hAnsi="Times New Roman" w:eastAsia="宋体" w:cs="Times New Roman"/>
      <w:b/>
      <w:bCs/>
      <w:kern w:val="44"/>
      <w:sz w:val="44"/>
      <w:szCs w:val="44"/>
    </w:rPr>
  </w:style>
  <w:style w:type="character" w:customStyle="1" w:styleId="36">
    <w:name w:val="标题 2 Char"/>
    <w:link w:val="3"/>
    <w:qFormat/>
    <w:uiPriority w:val="0"/>
    <w:rPr>
      <w:rFonts w:ascii="Arial" w:hAnsi="Arial" w:eastAsia="黑体" w:cs="Times New Roman"/>
      <w:b/>
      <w:bCs/>
      <w:sz w:val="32"/>
      <w:szCs w:val="32"/>
    </w:rPr>
  </w:style>
  <w:style w:type="character" w:customStyle="1" w:styleId="37">
    <w:name w:val="标题 3 Char"/>
    <w:link w:val="4"/>
    <w:qFormat/>
    <w:uiPriority w:val="0"/>
    <w:rPr>
      <w:rFonts w:ascii="Times New Roman" w:hAnsi="Times New Roman" w:eastAsia="宋体" w:cs="Times New Roman"/>
      <w:b/>
      <w:bCs/>
      <w:sz w:val="32"/>
      <w:szCs w:val="32"/>
    </w:rPr>
  </w:style>
  <w:style w:type="character" w:customStyle="1" w:styleId="38">
    <w:name w:val="标题 4 Char"/>
    <w:link w:val="5"/>
    <w:qFormat/>
    <w:uiPriority w:val="0"/>
    <w:rPr>
      <w:rFonts w:ascii="Arial" w:hAnsi="Arial" w:eastAsia="黑体" w:cs="Times New Roman"/>
      <w:b/>
      <w:bCs/>
      <w:sz w:val="28"/>
      <w:szCs w:val="28"/>
    </w:rPr>
  </w:style>
  <w:style w:type="character" w:customStyle="1" w:styleId="39">
    <w:name w:val="标题 5 Char"/>
    <w:link w:val="6"/>
    <w:qFormat/>
    <w:uiPriority w:val="0"/>
    <w:rPr>
      <w:rFonts w:ascii="Times New Roman" w:hAnsi="Times New Roman" w:eastAsia="宋体" w:cs="Times New Roman"/>
      <w:b/>
      <w:bCs/>
      <w:sz w:val="28"/>
      <w:szCs w:val="28"/>
    </w:rPr>
  </w:style>
  <w:style w:type="character" w:customStyle="1" w:styleId="40">
    <w:name w:val="标题 6 Char"/>
    <w:link w:val="7"/>
    <w:qFormat/>
    <w:uiPriority w:val="0"/>
    <w:rPr>
      <w:rFonts w:ascii="Arial" w:hAnsi="Arial" w:eastAsia="黑体" w:cs="Times New Roman"/>
      <w:b/>
      <w:bCs/>
      <w:sz w:val="24"/>
      <w:szCs w:val="24"/>
    </w:rPr>
  </w:style>
  <w:style w:type="character" w:customStyle="1" w:styleId="41">
    <w:name w:val="标题 7 Char"/>
    <w:link w:val="8"/>
    <w:qFormat/>
    <w:uiPriority w:val="0"/>
    <w:rPr>
      <w:rFonts w:ascii="Times New Roman" w:hAnsi="Times New Roman" w:eastAsia="宋体" w:cs="Times New Roman"/>
      <w:b/>
      <w:bCs/>
      <w:sz w:val="24"/>
      <w:szCs w:val="24"/>
    </w:rPr>
  </w:style>
  <w:style w:type="character" w:customStyle="1" w:styleId="42">
    <w:name w:val="标题 8 Char"/>
    <w:link w:val="9"/>
    <w:qFormat/>
    <w:uiPriority w:val="0"/>
    <w:rPr>
      <w:rFonts w:ascii="Arial" w:hAnsi="Arial" w:eastAsia="黑体" w:cs="Times New Roman"/>
      <w:sz w:val="24"/>
      <w:szCs w:val="24"/>
    </w:rPr>
  </w:style>
  <w:style w:type="character" w:customStyle="1" w:styleId="43">
    <w:name w:val="标题 9 Char"/>
    <w:link w:val="10"/>
    <w:qFormat/>
    <w:uiPriority w:val="0"/>
    <w:rPr>
      <w:rFonts w:ascii="Arial" w:hAnsi="Arial" w:eastAsia="黑体" w:cs="Times New Roman"/>
      <w:szCs w:val="21"/>
    </w:rPr>
  </w:style>
  <w:style w:type="character" w:customStyle="1" w:styleId="44">
    <w:name w:val="页眉 Char"/>
    <w:link w:val="19"/>
    <w:qFormat/>
    <w:uiPriority w:val="99"/>
    <w:rPr>
      <w:rFonts w:ascii="Times New Roman" w:hAnsi="Times New Roman" w:eastAsia="宋体" w:cs="Times New Roman"/>
      <w:sz w:val="18"/>
      <w:szCs w:val="18"/>
    </w:rPr>
  </w:style>
  <w:style w:type="character" w:customStyle="1" w:styleId="45">
    <w:name w:val="页脚 Char"/>
    <w:link w:val="18"/>
    <w:qFormat/>
    <w:uiPriority w:val="99"/>
    <w:rPr>
      <w:rFonts w:ascii="宋体" w:hAnsi="Times New Roman" w:eastAsia="宋体" w:cs="Times New Roman"/>
      <w:sz w:val="18"/>
      <w:szCs w:val="18"/>
    </w:rPr>
  </w:style>
  <w:style w:type="character" w:customStyle="1" w:styleId="46">
    <w:name w:val="批注框文本 Char"/>
    <w:link w:val="17"/>
    <w:semiHidden/>
    <w:qFormat/>
    <w:uiPriority w:val="99"/>
    <w:rPr>
      <w:sz w:val="18"/>
      <w:szCs w:val="18"/>
    </w:rPr>
  </w:style>
  <w:style w:type="paragraph" w:styleId="47">
    <w:name w:val="Quote"/>
    <w:basedOn w:val="1"/>
    <w:next w:val="1"/>
    <w:link w:val="48"/>
    <w:qFormat/>
    <w:uiPriority w:val="29"/>
    <w:rPr>
      <w:i/>
      <w:iCs/>
      <w:color w:val="000000"/>
    </w:rPr>
  </w:style>
  <w:style w:type="character" w:customStyle="1" w:styleId="48">
    <w:name w:val="引用 Char"/>
    <w:link w:val="47"/>
    <w:qFormat/>
    <w:uiPriority w:val="29"/>
    <w:rPr>
      <w:i/>
      <w:iCs/>
      <w:color w:val="000000"/>
    </w:rPr>
  </w:style>
  <w:style w:type="character" w:customStyle="1" w:styleId="49">
    <w:name w:val="标题 Char"/>
    <w:link w:val="26"/>
    <w:qFormat/>
    <w:uiPriority w:val="0"/>
    <w:rPr>
      <w:rFonts w:ascii="Arial" w:hAnsi="Arial" w:eastAsia="宋体" w:cs="Arial"/>
      <w:b/>
      <w:bCs/>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Lines="50" w:afterLines="50"/>
      <w:ind w:left="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Char"/>
    <w:link w:val="14"/>
    <w:qFormat/>
    <w:uiPriority w:val="0"/>
    <w:rPr>
      <w:rFonts w:ascii="Times New Roman" w:hAnsi="Times New Roman" w:eastAsia="宋体" w:cs="Times New Roman"/>
      <w:szCs w:val="20"/>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afterLines="150"/>
      <w:ind w:left="0" w:firstLine="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pPr>
  </w:style>
  <w:style w:type="paragraph" w:customStyle="1" w:styleId="92">
    <w:name w:val="标准文件_目录标题"/>
    <w:basedOn w:val="1"/>
    <w:qFormat/>
    <w:uiPriority w:val="0"/>
    <w:pPr>
      <w:spacing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ind w:left="0" w:firstLine="200"/>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Subtle Reference"/>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100">
    <w:name w:val="脚注文本 Char"/>
    <w:link w:val="22"/>
    <w:semiHidden/>
    <w:qFormat/>
    <w:uiPriority w:val="0"/>
    <w:rPr>
      <w:rFonts w:ascii="宋体" w:hAnsi="Times New Roman" w:eastAsia="宋体" w:cs="Times New Roman"/>
      <w:sz w:val="18"/>
      <w:szCs w:val="18"/>
    </w:rPr>
  </w:style>
  <w:style w:type="paragraph" w:customStyle="1" w:styleId="101">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Lines="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autoRedefine/>
    <w:semiHidden/>
    <w:qFormat/>
    <w:uiPriority w:val="0"/>
    <w:pPr>
      <w:adjustRightInd/>
      <w:spacing w:line="240" w:lineRule="auto"/>
      <w:jc w:val="left"/>
    </w:pPr>
    <w:rPr>
      <w:bCs/>
      <w:iCs/>
    </w:rPr>
  </w:style>
  <w:style w:type="paragraph" w:customStyle="1" w:styleId="144">
    <w:name w:val="目录 31"/>
    <w:basedOn w:val="1"/>
    <w:next w:val="1"/>
    <w:autoRedefine/>
    <w:semiHidden/>
    <w:qFormat/>
    <w:uiPriority w:val="0"/>
    <w:pPr>
      <w:spacing w:line="240" w:lineRule="auto"/>
    </w:pPr>
    <w:rPr>
      <w:rFonts w:ascii="宋体" w:hAnsi="宋体"/>
      <w:iCs/>
    </w:rPr>
  </w:style>
  <w:style w:type="paragraph" w:customStyle="1" w:styleId="145">
    <w:name w:val="目录 41"/>
    <w:basedOn w:val="1"/>
    <w:next w:val="1"/>
    <w:autoRedefine/>
    <w:semiHidden/>
    <w:qFormat/>
    <w:uiPriority w:val="0"/>
    <w:pPr>
      <w:adjustRightInd/>
      <w:spacing w:line="240" w:lineRule="auto"/>
      <w:jc w:val="left"/>
    </w:pPr>
  </w:style>
  <w:style w:type="paragraph" w:customStyle="1" w:styleId="146">
    <w:name w:val="目录 51"/>
    <w:basedOn w:val="1"/>
    <w:next w:val="1"/>
    <w:autoRedefine/>
    <w:semiHidden/>
    <w:qFormat/>
    <w:uiPriority w:val="0"/>
    <w:pPr>
      <w:spacing w:line="240" w:lineRule="auto"/>
    </w:pPr>
    <w:rPr>
      <w:rFonts w:ascii="宋体" w:hAnsi="宋体"/>
    </w:rPr>
  </w:style>
  <w:style w:type="paragraph" w:customStyle="1" w:styleId="147">
    <w:name w:val="目录 61"/>
    <w:basedOn w:val="1"/>
    <w:next w:val="1"/>
    <w:autoRedefine/>
    <w:semiHidden/>
    <w:qFormat/>
    <w:uiPriority w:val="0"/>
    <w:pPr>
      <w:adjustRightInd/>
      <w:spacing w:line="240" w:lineRule="auto"/>
      <w:jc w:val="left"/>
    </w:pPr>
  </w:style>
  <w:style w:type="paragraph" w:customStyle="1" w:styleId="148">
    <w:name w:val="目录 71"/>
    <w:basedOn w:val="147"/>
    <w:autoRedefine/>
    <w:semiHidden/>
    <w:uiPriority w:val="0"/>
    <w:pPr>
      <w:ind w:left="1260"/>
    </w:pPr>
  </w:style>
  <w:style w:type="paragraph" w:customStyle="1" w:styleId="149">
    <w:name w:val="目录 81"/>
    <w:basedOn w:val="148"/>
    <w:autoRedefine/>
    <w:semiHidden/>
    <w:uiPriority w:val="0"/>
    <w:pPr>
      <w:ind w:left="1470"/>
    </w:pPr>
  </w:style>
  <w:style w:type="paragraph" w:customStyle="1" w:styleId="150">
    <w:name w:val="目录 91"/>
    <w:basedOn w:val="149"/>
    <w:autoRedefine/>
    <w:semiHidden/>
    <w:uiPriority w:val="0"/>
    <w:pPr>
      <w:ind w:left="1680"/>
    </w:pPr>
  </w:style>
  <w:style w:type="paragraph" w:customStyle="1" w:styleId="151">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uiPriority w:val="0"/>
    <w:pPr>
      <w:framePr w:wrap="around"/>
      <w:spacing w:line="0" w:lineRule="atLeast"/>
    </w:pPr>
    <w:rPr>
      <w:rFonts w:ascii="黑体" w:eastAsia="黑体"/>
      <w:b w:val="0"/>
    </w:rPr>
  </w:style>
  <w:style w:type="paragraph" w:customStyle="1" w:styleId="153">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Lines="0" w:afterLines="0"/>
      <w:outlineLvl w:val="9"/>
    </w:pPr>
    <w:rPr>
      <w:rFonts w:ascii="宋体" w:eastAsia="宋体"/>
    </w:rPr>
  </w:style>
  <w:style w:type="paragraph" w:customStyle="1" w:styleId="164">
    <w:name w:val="标准文件_五级无标题"/>
    <w:basedOn w:val="104"/>
    <w:qFormat/>
    <w:uiPriority w:val="0"/>
    <w:pPr>
      <w:spacing w:beforeLines="0" w:afterLines="0"/>
      <w:outlineLvl w:val="9"/>
    </w:pPr>
    <w:rPr>
      <w:rFonts w:ascii="宋体" w:eastAsia="宋体"/>
    </w:rPr>
  </w:style>
  <w:style w:type="paragraph" w:customStyle="1" w:styleId="165">
    <w:name w:val="标准文件_三级无标题"/>
    <w:basedOn w:val="95"/>
    <w:qFormat/>
    <w:uiPriority w:val="0"/>
    <w:pPr>
      <w:spacing w:beforeLines="0" w:afterLines="0"/>
      <w:outlineLvl w:val="9"/>
    </w:pPr>
    <w:rPr>
      <w:rFonts w:ascii="宋体" w:eastAsia="宋体"/>
    </w:rPr>
  </w:style>
  <w:style w:type="paragraph" w:customStyle="1" w:styleId="166">
    <w:name w:val="标准文件_二级无标题"/>
    <w:basedOn w:val="66"/>
    <w:qFormat/>
    <w:uiPriority w:val="0"/>
    <w:pPr>
      <w:spacing w:beforeLines="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Lines="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ind w:left="783"/>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Lines="2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left="1271" w:hanging="420" w:firstLineChars="0"/>
    </w:pPr>
  </w:style>
  <w:style w:type="paragraph" w:customStyle="1" w:styleId="189">
    <w:name w:val="标准文件_三级项2"/>
    <w:basedOn w:val="57"/>
    <w:qFormat/>
    <w:uiPriority w:val="0"/>
    <w:pPr>
      <w:numPr>
        <w:ilvl w:val="0"/>
        <w:numId w:val="30"/>
      </w:numPr>
      <w:spacing w:line="300" w:lineRule="exact"/>
      <w:ind w:left="1276" w:hanging="425" w:firstLineChars="0"/>
    </w:pPr>
    <w:rPr>
      <w:rFonts w:ascii="Times New Roman"/>
    </w:rPr>
  </w:style>
  <w:style w:type="paragraph" w:customStyle="1" w:styleId="190">
    <w:name w:val="标准文件_一级项2"/>
    <w:basedOn w:val="57"/>
    <w:qFormat/>
    <w:uiPriority w:val="0"/>
    <w:pPr>
      <w:numPr>
        <w:ilvl w:val="0"/>
        <w:numId w:val="31"/>
      </w:numPr>
      <w:spacing w:line="300" w:lineRule="exact"/>
      <w:ind w:left="1271" w:hanging="420"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wrap="around" w:vAnchor="page" w:hAnchor="page" w:x="1419" w:y="14097"/>
    </w:pPr>
  </w:style>
  <w:style w:type="paragraph" w:customStyle="1" w:styleId="195">
    <w:name w:val="其他实施日期"/>
    <w:basedOn w:val="155"/>
    <w:qFormat/>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frame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Lines="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Lines="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Lines="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Lines="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Lines="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Lines="0" w:afterLines="0" w:line="276" w:lineRule="auto"/>
      <w:outlineLvl w:val="9"/>
    </w:pPr>
    <w:rPr>
      <w:rFonts w:ascii="宋体" w:eastAsia="宋体"/>
    </w:rPr>
  </w:style>
  <w:style w:type="paragraph" w:customStyle="1" w:styleId="213">
    <w:name w:val="标准文件_附录二级无标题"/>
    <w:basedOn w:val="80"/>
    <w:qFormat/>
    <w:uiPriority w:val="0"/>
    <w:pPr>
      <w:spacing w:beforeLines="0" w:afterLines="0" w:line="276" w:lineRule="auto"/>
      <w:outlineLvl w:val="9"/>
    </w:pPr>
    <w:rPr>
      <w:rFonts w:ascii="宋体" w:eastAsia="宋体"/>
    </w:rPr>
  </w:style>
  <w:style w:type="paragraph" w:customStyle="1" w:styleId="214">
    <w:name w:val="标准文件_附录三级无标题"/>
    <w:basedOn w:val="82"/>
    <w:qFormat/>
    <w:uiPriority w:val="0"/>
    <w:pPr>
      <w:spacing w:beforeLines="0" w:afterLines="0" w:line="276" w:lineRule="auto"/>
      <w:outlineLvl w:val="9"/>
    </w:pPr>
    <w:rPr>
      <w:rFonts w:ascii="宋体" w:eastAsia="宋体"/>
    </w:rPr>
  </w:style>
  <w:style w:type="paragraph" w:customStyle="1" w:styleId="215">
    <w:name w:val="标准文件_附录四级无标题"/>
    <w:basedOn w:val="83"/>
    <w:qFormat/>
    <w:uiPriority w:val="0"/>
    <w:pPr>
      <w:spacing w:beforeLines="0" w:afterLines="0" w:line="276" w:lineRule="auto"/>
      <w:outlineLvl w:val="9"/>
    </w:pPr>
    <w:rPr>
      <w:rFonts w:ascii="宋体" w:eastAsia="宋体"/>
    </w:rPr>
  </w:style>
  <w:style w:type="paragraph" w:customStyle="1" w:styleId="216">
    <w:name w:val="标准文件_附录五级无标题"/>
    <w:basedOn w:val="85"/>
    <w:qFormat/>
    <w:uiPriority w:val="0"/>
    <w:pPr>
      <w:spacing w:beforeLines="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Lines="0" w:afterLines="0" w:line="276" w:lineRule="auto"/>
    </w:pPr>
    <w:rPr>
      <w:rFonts w:ascii="宋体" w:eastAsia="宋体"/>
    </w:rPr>
  </w:style>
  <w:style w:type="paragraph" w:customStyle="1" w:styleId="218">
    <w:name w:val="标准文件_引言二级无标题"/>
    <w:basedOn w:val="202"/>
    <w:next w:val="57"/>
    <w:qFormat/>
    <w:uiPriority w:val="0"/>
    <w:pPr>
      <w:spacing w:beforeLines="0" w:afterLines="0" w:line="276" w:lineRule="auto"/>
    </w:pPr>
    <w:rPr>
      <w:rFonts w:ascii="宋体" w:eastAsia="宋体"/>
    </w:rPr>
  </w:style>
  <w:style w:type="paragraph" w:customStyle="1" w:styleId="219">
    <w:name w:val="标准文件_引言三级无标题"/>
    <w:basedOn w:val="203"/>
    <w:next w:val="57"/>
    <w:qFormat/>
    <w:uiPriority w:val="0"/>
    <w:pPr>
      <w:spacing w:beforeLines="0" w:afterLines="0" w:line="276" w:lineRule="auto"/>
    </w:pPr>
    <w:rPr>
      <w:rFonts w:ascii="宋体" w:eastAsia="宋体"/>
    </w:rPr>
  </w:style>
  <w:style w:type="paragraph" w:customStyle="1" w:styleId="220">
    <w:name w:val="标准文件_引言四级无标题"/>
    <w:basedOn w:val="204"/>
    <w:next w:val="57"/>
    <w:qFormat/>
    <w:uiPriority w:val="0"/>
    <w:pPr>
      <w:spacing w:beforeLines="0" w:afterLines="0" w:line="276" w:lineRule="auto"/>
    </w:pPr>
    <w:rPr>
      <w:rFonts w:ascii="宋体" w:eastAsia="宋体"/>
    </w:rPr>
  </w:style>
  <w:style w:type="paragraph" w:customStyle="1" w:styleId="221">
    <w:name w:val="标准文件_引言五级无标题"/>
    <w:basedOn w:val="205"/>
    <w:next w:val="57"/>
    <w:qFormat/>
    <w:uiPriority w:val="0"/>
    <w:pPr>
      <w:spacing w:beforeLines="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 w:type="character" w:customStyle="1" w:styleId="231">
    <w:name w:val="文档结构图 Char"/>
    <w:basedOn w:val="29"/>
    <w:link w:val="13"/>
    <w:semiHidden/>
    <w:qFormat/>
    <w:uiPriority w:val="99"/>
    <w:rPr>
      <w:rFonts w:ascii="宋体"/>
      <w:kern w:val="2"/>
      <w:sz w:val="18"/>
      <w:szCs w:val="18"/>
    </w:rPr>
  </w:style>
  <w:style w:type="paragraph" w:customStyle="1" w:styleId="232">
    <w:name w:val="目次第7级"/>
    <w:qFormat/>
    <w:uiPriority w:val="39"/>
    <w:pPr>
      <w:tabs>
        <w:tab w:val="right" w:leader="dot" w:pos="9241"/>
      </w:tabs>
      <w:wordWrap w:val="0"/>
      <w:ind w:firstLine="600" w:firstLineChars="600"/>
    </w:pPr>
    <w:rPr>
      <w:rFonts w:ascii="宋体" w:hAnsi="宋体" w:eastAsia="宋体" w:cs="宋体"/>
      <w:sz w:val="21"/>
      <w:szCs w:val="21"/>
      <w:lang w:val="en-US" w:eastAsia="zh-CN" w:bidi="ar-SA"/>
    </w:rPr>
  </w:style>
  <w:style w:type="paragraph" w:customStyle="1" w:styleId="233">
    <w:name w:val="段落"/>
    <w:qFormat/>
    <w:uiPriority w:val="0"/>
    <w:pPr>
      <w:autoSpaceDE w:val="0"/>
      <w:autoSpaceDN w:val="0"/>
      <w:ind w:firstLine="420" w:firstLineChars="200"/>
    </w:pPr>
    <w:rPr>
      <w:rFonts w:ascii="宋体" w:hAnsi="Times New Roman" w:eastAsia="宋体" w:cs="Times New Roman"/>
      <w:sz w:val="21"/>
      <w:lang w:val="en-US" w:eastAsia="zh-CN" w:bidi="ar-SA"/>
    </w:rPr>
  </w:style>
  <w:style w:type="paragraph" w:customStyle="1" w:styleId="234">
    <w:name w:val="一级首章标题"/>
    <w:qFormat/>
    <w:uiPriority w:val="0"/>
    <w:pPr>
      <w:wordWrap w:val="0"/>
      <w:autoSpaceDE w:val="0"/>
      <w:autoSpaceDN w:val="0"/>
      <w:snapToGrid w:val="0"/>
      <w:spacing w:afterLines="100"/>
      <w:jc w:val="both"/>
    </w:pPr>
    <w:rPr>
      <w:rFonts w:ascii="黑体" w:hAnsi="黑体" w:eastAsia="黑体" w:cs="Times New Roman"/>
      <w:sz w:val="21"/>
      <w:lang w:val="en-US" w:eastAsia="zh-CN" w:bidi="ar-SA"/>
    </w:rPr>
  </w:style>
  <w:style w:type="paragraph" w:customStyle="1" w:styleId="235">
    <w:name w:val="章节条款"/>
    <w:qFormat/>
    <w:uiPriority w:val="0"/>
    <w:pPr>
      <w:wordWrap w:val="0"/>
      <w:autoSpaceDE w:val="0"/>
      <w:autoSpaceDN w:val="0"/>
      <w:snapToGrid w:val="0"/>
      <w:spacing w:beforeLines="50" w:afterLines="50"/>
      <w:jc w:val="both"/>
    </w:pPr>
    <w:rPr>
      <w:rFonts w:ascii="黑体" w:hAnsi="黑体" w:eastAsia="黑体" w:cs="Times New Roman"/>
      <w:sz w:val="21"/>
      <w:lang w:val="en-US" w:eastAsia="zh-CN" w:bidi="ar-SA"/>
    </w:rPr>
  </w:style>
  <w:style w:type="paragraph" w:customStyle="1" w:styleId="236">
    <w:name w:val="其他页面标题"/>
    <w:qFormat/>
    <w:uiPriority w:val="0"/>
    <w:pPr>
      <w:wordWrap w:val="0"/>
      <w:autoSpaceDE w:val="0"/>
      <w:autoSpaceDN w:val="0"/>
      <w:spacing w:before="640" w:after="200"/>
      <w:jc w:val="center"/>
      <w:outlineLvl w:val="0"/>
    </w:pPr>
    <w:rPr>
      <w:rFonts w:ascii="黑体" w:hAnsi="Times New Roman" w:eastAsia="黑体" w:cs="Times New Roman"/>
      <w:sz w:val="21"/>
      <w:szCs w:val="21"/>
      <w:lang w:val="en-US" w:eastAsia="zh-CN" w:bidi="ar-SA"/>
    </w:rPr>
  </w:style>
  <w:style w:type="paragraph" w:customStyle="1" w:styleId="237">
    <w:name w:val="章标题-无条题"/>
    <w:qFormat/>
    <w:uiPriority w:val="0"/>
    <w:pPr>
      <w:wordWrap w:val="0"/>
      <w:autoSpaceDE w:val="0"/>
      <w:autoSpaceDN w:val="0"/>
    </w:pPr>
    <w:rPr>
      <w:rFonts w:ascii="宋体" w:hAnsi="宋体" w:eastAsia="宋体" w:cs="Times New Roman"/>
      <w:lang w:val="en-US" w:eastAsia="zh-CN" w:bidi="ar-SA"/>
    </w:rPr>
  </w:style>
  <w:style w:type="paragraph" w:customStyle="1" w:styleId="238">
    <w:name w:val="Footer"/>
    <w:unhideWhenUsed/>
    <w:qFormat/>
    <w:uiPriority w:val="99"/>
    <w:pPr>
      <w:wordWrap w:val="0"/>
      <w:autoSpaceDE w:val="0"/>
      <w:autoSpaceDN w:val="0"/>
      <w:jc w:val="right"/>
    </w:pPr>
    <w:rPr>
      <w:rFonts w:ascii="Times New Roman" w:hAnsi="Times New Roman" w:eastAsia="宋体" w:cs="Times New Roman"/>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glossaryDocument" Target="glossary/document.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2.jpeg"/><Relationship Id="rId17" Type="http://schemas.openxmlformats.org/officeDocument/2006/relationships/image" Target="media/image1.tiff"/><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E3E704C0ED74CAE99CA745262FCC735"/>
        <w:style w:val=""/>
        <w:category>
          <w:name w:val="常规"/>
          <w:gallery w:val="placeholder"/>
        </w:category>
        <w:types>
          <w:type w:val="bbPlcHdr"/>
        </w:types>
        <w:behaviors>
          <w:behavior w:val="content"/>
        </w:behaviors>
        <w:description w:val=""/>
        <w:guid w:val="{3C22D1F0-326C-4330-BCD6-CA56DBF341E7}"/>
      </w:docPartPr>
      <w:docPartBody>
        <w:p w14:paraId="46D17D21">
          <w:pPr>
            <w:pStyle w:val="5"/>
          </w:pPr>
          <w:r>
            <w:rPr>
              <w:rStyle w:val="4"/>
              <w:rFonts w:hint="eastAsia"/>
            </w:rPr>
            <w:t>单击或点击此处输入文字。</w:t>
          </w:r>
        </w:p>
      </w:docPartBody>
    </w:docPart>
    <w:docPart>
      <w:docPartPr>
        <w:name w:val="0436B3334A884D24A5EE9B3462F3856B"/>
        <w:style w:val=""/>
        <w:category>
          <w:name w:val="常规"/>
          <w:gallery w:val="placeholder"/>
        </w:category>
        <w:types>
          <w:type w:val="bbPlcHdr"/>
        </w:types>
        <w:behaviors>
          <w:behavior w:val="content"/>
        </w:behaviors>
        <w:description w:val=""/>
        <w:guid w:val="{6B2D44A1-8FB4-4F78-8CB4-E0CE774CC813}"/>
      </w:docPartPr>
      <w:docPartBody>
        <w:p w14:paraId="13245553">
          <w:pPr>
            <w:pStyle w:val="6"/>
          </w:pPr>
          <w:r>
            <w:rPr>
              <w:rStyle w:val="4"/>
              <w:rFonts w:hint="eastAsia"/>
            </w:rPr>
            <w:t>选择一项。</w:t>
          </w:r>
        </w:p>
      </w:docPartBody>
    </w:docPart>
    <w:docPart>
      <w:docPartPr>
        <w:name w:val="5F9C6D1E1B1B407C83D9DA035EE5A96A"/>
        <w:style w:val=""/>
        <w:category>
          <w:name w:val="常规"/>
          <w:gallery w:val="placeholder"/>
        </w:category>
        <w:types>
          <w:type w:val="bbPlcHdr"/>
        </w:types>
        <w:behaviors>
          <w:behavior w:val="content"/>
        </w:behaviors>
        <w:description w:val=""/>
        <w:guid w:val="{4BDDC7FA-5957-445E-8C02-9488D92EB339}"/>
      </w:docPartPr>
      <w:docPartBody>
        <w:p w14:paraId="7A8727A2">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revisionView w:markup="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F30D40"/>
    <w:rsid w:val="00452227"/>
    <w:rsid w:val="00564E9A"/>
    <w:rsid w:val="00911873"/>
    <w:rsid w:val="00A124C7"/>
    <w:rsid w:val="00F30D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1E3E704C0ED74CAE99CA745262FCC73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436B3334A884D24A5EE9B3462F3856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5F9C6D1E1B1B407C83D9DA035EE5A96A"/>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6E8A82-29A5-4E8E-85AA-5B5F6F5611D2}">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11</Pages>
  <Words>6663</Words>
  <Characters>7285</Characters>
  <Lines>67</Lines>
  <Paragraphs>18</Paragraphs>
  <TotalTime>278</TotalTime>
  <ScaleCrop>false</ScaleCrop>
  <LinksUpToDate>false</LinksUpToDate>
  <CharactersWithSpaces>7476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2024-07-29T08:16:00Z</dcterms:created>
  <dc:creator>Windows 用户</dc:creator>
  <dc:description>&lt;config cover="true" show_menu="true" version="1.0.0" doctype="SDKXY"&gt;_x000d_
&lt;/config&gt;</dc:description>
  <cp:lastModifiedBy>张洁</cp:lastModifiedBy>
  <cp:lastPrinted>2020-08-30T10:00:00Z</cp:lastPrinted>
  <dcterms:modified xsi:type="dcterms:W3CDTF">2024-08-05T02:18:27Z</dcterms:modified>
  <dc:title>地方标准</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2052-12.1.0.17147</vt:lpwstr>
  </property>
  <property fmtid="{D5CDD505-2E9C-101B-9397-08002B2CF9AE}" pid="15" name="ICV">
    <vt:lpwstr>BBE97E3B6085429BACDB5668A402E229_13</vt:lpwstr>
  </property>
</Properties>
</file>