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D4B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21B4FFB">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373F3A3A">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w:t>
            </w:r>
            <w:r>
              <w:rPr>
                <w:rFonts w:ascii="黑体" w:hAnsi="黑体" w:eastAsia="黑体"/>
                <w:sz w:val="21"/>
                <w:szCs w:val="21"/>
              </w:rPr>
              <w:fldChar w:fldCharType="end"/>
            </w:r>
            <w:bookmarkEnd w:id="0"/>
          </w:p>
        </w:tc>
      </w:tr>
      <w:tr w14:paraId="1A63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80FBAB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14:paraId="6032317D">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90</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BD7E56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06AB7923">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13FF6196">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2E978AD3">
      <w:pPr>
        <w:pStyle w:val="196"/>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rPr>
          <w:rFonts w:hint="eastAsia"/>
          <w:lang w:val="fr-FR"/>
        </w:rPr>
        <w:t xml:space="preserve"> </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XXXX</w:t>
      </w:r>
      <w:r>
        <w:fldChar w:fldCharType="end"/>
      </w:r>
      <w:bookmarkEnd w:id="7"/>
    </w:p>
    <w:p w14:paraId="1DBE8362">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97D3DE0">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04612417">
      <w:pPr>
        <w:pStyle w:val="51"/>
        <w:framePr w:w="9639" w:h="6976" w:hRule="exact" w:hSpace="0" w:vSpace="0" w:wrap="around" w:hAnchor="page" w:y="6408"/>
        <w:jc w:val="center"/>
        <w:rPr>
          <w:rFonts w:ascii="黑体" w:hAnsi="黑体" w:eastAsia="黑体"/>
          <w:b w:val="0"/>
          <w:bCs w:val="0"/>
          <w:w w:val="100"/>
        </w:rPr>
      </w:pPr>
    </w:p>
    <w:p w14:paraId="40B2F168">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社会治理综合服务中心建设与管理规范</w:t>
      </w:r>
      <w:r>
        <w:fldChar w:fldCharType="end"/>
      </w:r>
      <w:bookmarkEnd w:id="9"/>
    </w:p>
    <w:p w14:paraId="1C2899A8">
      <w:pPr>
        <w:framePr w:w="9639" w:h="6974" w:hRule="exact" w:wrap="around" w:vAnchor="page" w:hAnchor="page" w:x="1419" w:y="6408" w:anchorLock="1"/>
        <w:ind w:left="-1418"/>
      </w:pPr>
    </w:p>
    <w:p w14:paraId="1D9D0236">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w:t>
      </w:r>
      <w:r>
        <w:rPr>
          <w:rFonts w:eastAsia="黑体"/>
          <w:szCs w:val="28"/>
        </w:rPr>
        <w:t>pecification</w:t>
      </w:r>
      <w:r>
        <w:rPr>
          <w:rFonts w:hint="eastAsia" w:eastAsia="黑体"/>
          <w:szCs w:val="28"/>
        </w:rPr>
        <w:t xml:space="preserve"> of c</w:t>
      </w:r>
      <w:r>
        <w:rPr>
          <w:rFonts w:eastAsia="黑体"/>
          <w:szCs w:val="28"/>
        </w:rPr>
        <w:t xml:space="preserve">onstruction and management </w:t>
      </w:r>
      <w:r>
        <w:rPr>
          <w:rFonts w:hint="eastAsia" w:eastAsia="黑体"/>
          <w:szCs w:val="28"/>
        </w:rPr>
        <w:t xml:space="preserve">for </w:t>
      </w:r>
      <w:r>
        <w:rPr>
          <w:rFonts w:eastAsia="黑体"/>
          <w:szCs w:val="28"/>
        </w:rPr>
        <w:t>social governance comprehensive service center</w:t>
      </w:r>
      <w:r>
        <w:rPr>
          <w:rFonts w:eastAsia="黑体"/>
          <w:szCs w:val="28"/>
        </w:rPr>
        <w:fldChar w:fldCharType="end"/>
      </w:r>
      <w:bookmarkEnd w:id="10"/>
    </w:p>
    <w:p w14:paraId="5DBA0D93">
      <w:pPr>
        <w:framePr w:w="9639" w:h="6974" w:hRule="exact" w:wrap="around" w:vAnchor="page" w:hAnchor="page" w:x="1419" w:y="6408" w:anchorLock="1"/>
        <w:spacing w:line="760" w:lineRule="exact"/>
        <w:ind w:left="-1418"/>
      </w:pPr>
    </w:p>
    <w:p w14:paraId="5FAC682A">
      <w:pPr>
        <w:pStyle w:val="126"/>
        <w:framePr w:w="9639" w:h="6974" w:hRule="exact" w:wrap="around" w:vAnchor="page" w:hAnchor="page" w:x="1419" w:y="6408" w:anchorLock="1"/>
        <w:textAlignment w:val="bottom"/>
        <w:rPr>
          <w:rFonts w:eastAsia="黑体"/>
          <w:szCs w:val="28"/>
        </w:rPr>
      </w:pPr>
    </w:p>
    <w:p w14:paraId="3AA23F46">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B261373">
      <w:pPr>
        <w:pStyle w:val="126"/>
        <w:framePr w:w="9639" w:h="6974" w:hRule="exact" w:wrap="around" w:vAnchor="page" w:hAnchor="page" w:x="1419" w:y="6408" w:anchorLock="1"/>
        <w:spacing w:before="180" w:line="240" w:lineRule="atLeast"/>
        <w:textAlignment w:val="bottom"/>
        <w:rPr>
          <w:sz w:val="21"/>
          <w:szCs w:val="28"/>
        </w:rPr>
      </w:pPr>
    </w:p>
    <w:p w14:paraId="0EBFFA8D">
      <w:pPr>
        <w:pStyle w:val="126"/>
        <w:framePr w:w="9639" w:h="6974" w:hRule="exact" w:wrap="around" w:vAnchor="page" w:hAnchor="page" w:x="1419" w:y="6408" w:anchorLock="1"/>
        <w:spacing w:beforeLines="300" w:afterLines="30" w:line="240" w:lineRule="auto"/>
        <w:textAlignment w:val="bottom"/>
        <w:rPr>
          <w:b/>
          <w:sz w:val="21"/>
          <w:szCs w:val="28"/>
        </w:rPr>
      </w:pPr>
    </w:p>
    <w:p w14:paraId="0A3E2A0D">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rPr>
          <w:rFonts w:ascii="黑体"/>
        </w:rPr>
        <w:t>-</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ascii="黑体"/>
        </w:rPr>
        <w:t>-</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01F5C5A4">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rPr>
          <w:rFonts w:ascii="黑体"/>
        </w:rPr>
        <w:t>-</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ascii="黑体"/>
        </w:rPr>
        <w:t>-</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496FA0D3">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6B6818A0">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14:paraId="032D8ACE">
      <w:pPr>
        <w:pStyle w:val="92"/>
        <w:spacing w:after="468"/>
      </w:pPr>
      <w:bookmarkStart w:id="19" w:name="BookMark1"/>
      <w:r>
        <w:rPr>
          <w:rFonts w:hint="eastAsia"/>
          <w:spacing w:val="320"/>
        </w:rPr>
        <w:t>目</w:t>
      </w:r>
      <w:r>
        <w:rPr>
          <w:rFonts w:hint="eastAsia"/>
        </w:rPr>
        <w:t>次</w:t>
      </w:r>
    </w:p>
    <w:p w14:paraId="03363D35">
      <w:pPr>
        <w:pStyle w:val="20"/>
        <w:tabs>
          <w:tab w:val="right" w:leader="dot" w:pos="9344"/>
        </w:tabs>
        <w:rPr>
          <w:rFonts w:asciiTheme="minorHAnsi" w:hAnsiTheme="minorHAnsi" w:eastAsiaTheme="minorEastAsia" w:cstheme="minorBidi"/>
          <w:szCs w:val="22"/>
        </w:rPr>
      </w:pPr>
      <w:r>
        <w:fldChar w:fldCharType="begin"/>
      </w:r>
      <w:r>
        <w:rPr>
          <w:rFonts w:hint="eastAsia"/>
        </w:rPr>
        <w:instrText xml:space="preserve">TOC \o "1-1" \h</w:instrText>
      </w:r>
      <w:r>
        <w:fldChar w:fldCharType="separate"/>
      </w:r>
      <w:r>
        <w:fldChar w:fldCharType="begin"/>
      </w:r>
      <w:r>
        <w:instrText xml:space="preserve"> HYPERLINK \l "_Toc159507840" </w:instrText>
      </w:r>
      <w:r>
        <w:fldChar w:fldCharType="separate"/>
      </w:r>
      <w:r>
        <w:rPr>
          <w:rStyle w:val="33"/>
          <w:rFonts w:hint="eastAsia"/>
        </w:rPr>
        <w:t>前言</w:t>
      </w:r>
      <w:r>
        <w:tab/>
      </w:r>
      <w:r>
        <w:fldChar w:fldCharType="begin"/>
      </w:r>
      <w:r>
        <w:instrText xml:space="preserve"> PAGEREF _Toc159507840 \h </w:instrText>
      </w:r>
      <w:r>
        <w:fldChar w:fldCharType="separate"/>
      </w:r>
      <w:r>
        <w:t>II</w:t>
      </w:r>
      <w:r>
        <w:fldChar w:fldCharType="end"/>
      </w:r>
      <w:r>
        <w:fldChar w:fldCharType="end"/>
      </w:r>
    </w:p>
    <w:p w14:paraId="53D0945E">
      <w:pPr>
        <w:pStyle w:val="20"/>
        <w:tabs>
          <w:tab w:val="right" w:leader="dot" w:pos="9344"/>
        </w:tabs>
        <w:rPr>
          <w:rFonts w:asciiTheme="minorHAnsi" w:hAnsiTheme="minorHAnsi" w:eastAsiaTheme="minorEastAsia" w:cstheme="minorBidi"/>
          <w:szCs w:val="22"/>
        </w:rPr>
      </w:pPr>
      <w:r>
        <w:fldChar w:fldCharType="begin"/>
      </w:r>
      <w:r>
        <w:instrText xml:space="preserve"> HYPERLINK \l "_Toc159507841" </w:instrText>
      </w:r>
      <w:r>
        <w:fldChar w:fldCharType="separate"/>
      </w:r>
      <w:r>
        <w:rPr>
          <w:rStyle w:val="33"/>
        </w:rPr>
        <w:t xml:space="preserve">1 </w:t>
      </w:r>
      <w:r>
        <w:rPr>
          <w:rStyle w:val="33"/>
          <w:rFonts w:hint="eastAsia"/>
        </w:rPr>
        <w:t xml:space="preserve"> 范围</w:t>
      </w:r>
      <w:r>
        <w:tab/>
      </w:r>
      <w:r>
        <w:fldChar w:fldCharType="begin"/>
      </w:r>
      <w:r>
        <w:instrText xml:space="preserve"> PAGEREF _Toc159507841 \h </w:instrText>
      </w:r>
      <w:r>
        <w:fldChar w:fldCharType="separate"/>
      </w:r>
      <w:r>
        <w:t>1</w:t>
      </w:r>
      <w:r>
        <w:fldChar w:fldCharType="end"/>
      </w:r>
      <w:r>
        <w:fldChar w:fldCharType="end"/>
      </w:r>
    </w:p>
    <w:p w14:paraId="7074CBD1">
      <w:pPr>
        <w:pStyle w:val="20"/>
        <w:tabs>
          <w:tab w:val="right" w:leader="dot" w:pos="9344"/>
        </w:tabs>
        <w:rPr>
          <w:rFonts w:asciiTheme="minorHAnsi" w:hAnsiTheme="minorHAnsi" w:eastAsiaTheme="minorEastAsia" w:cstheme="minorBidi"/>
          <w:szCs w:val="22"/>
        </w:rPr>
      </w:pPr>
      <w:r>
        <w:fldChar w:fldCharType="begin"/>
      </w:r>
      <w:r>
        <w:instrText xml:space="preserve"> HYPERLINK \l "_Toc159507842"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_Toc159507842 \h </w:instrText>
      </w:r>
      <w:r>
        <w:fldChar w:fldCharType="separate"/>
      </w:r>
      <w:r>
        <w:t>1</w:t>
      </w:r>
      <w:r>
        <w:fldChar w:fldCharType="end"/>
      </w:r>
      <w:r>
        <w:fldChar w:fldCharType="end"/>
      </w:r>
    </w:p>
    <w:p w14:paraId="5CB9022B">
      <w:pPr>
        <w:pStyle w:val="20"/>
        <w:tabs>
          <w:tab w:val="right" w:leader="dot" w:pos="9344"/>
        </w:tabs>
        <w:rPr>
          <w:rFonts w:asciiTheme="minorHAnsi" w:hAnsiTheme="minorHAnsi" w:eastAsiaTheme="minorEastAsia" w:cstheme="minorBidi"/>
          <w:szCs w:val="22"/>
        </w:rPr>
      </w:pPr>
      <w:r>
        <w:fldChar w:fldCharType="begin"/>
      </w:r>
      <w:r>
        <w:instrText xml:space="preserve"> HYPERLINK \l "_Toc159507843"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_Toc159507843 \h </w:instrText>
      </w:r>
      <w:r>
        <w:fldChar w:fldCharType="separate"/>
      </w:r>
      <w:r>
        <w:t>1</w:t>
      </w:r>
      <w:r>
        <w:fldChar w:fldCharType="end"/>
      </w:r>
      <w:r>
        <w:fldChar w:fldCharType="end"/>
      </w:r>
    </w:p>
    <w:p w14:paraId="0552C57B">
      <w:pPr>
        <w:pStyle w:val="20"/>
        <w:tabs>
          <w:tab w:val="right" w:leader="dot" w:pos="9344"/>
        </w:tabs>
        <w:rPr>
          <w:rFonts w:asciiTheme="minorHAnsi" w:hAnsiTheme="minorHAnsi" w:eastAsiaTheme="minorEastAsia" w:cstheme="minorBidi"/>
          <w:szCs w:val="22"/>
        </w:rPr>
      </w:pPr>
      <w:r>
        <w:fldChar w:fldCharType="begin"/>
      </w:r>
      <w:r>
        <w:instrText xml:space="preserve"> HYPERLINK \l "_Toc159507844" </w:instrText>
      </w:r>
      <w:r>
        <w:fldChar w:fldCharType="separate"/>
      </w:r>
      <w:r>
        <w:rPr>
          <w:rStyle w:val="33"/>
        </w:rPr>
        <w:t xml:space="preserve">4 </w:t>
      </w:r>
      <w:r>
        <w:rPr>
          <w:rStyle w:val="33"/>
          <w:rFonts w:hint="eastAsia"/>
        </w:rPr>
        <w:t xml:space="preserve"> 总体原则</w:t>
      </w:r>
      <w:r>
        <w:tab/>
      </w:r>
      <w:r>
        <w:fldChar w:fldCharType="begin"/>
      </w:r>
      <w:r>
        <w:instrText xml:space="preserve"> PAGEREF _Toc159507844 \h </w:instrText>
      </w:r>
      <w:r>
        <w:fldChar w:fldCharType="separate"/>
      </w:r>
      <w:r>
        <w:t>2</w:t>
      </w:r>
      <w:r>
        <w:fldChar w:fldCharType="end"/>
      </w:r>
      <w:r>
        <w:fldChar w:fldCharType="end"/>
      </w:r>
    </w:p>
    <w:p w14:paraId="7FA20B59">
      <w:pPr>
        <w:pStyle w:val="20"/>
        <w:tabs>
          <w:tab w:val="right" w:leader="dot" w:pos="9344"/>
        </w:tabs>
        <w:rPr>
          <w:rFonts w:asciiTheme="minorHAnsi" w:hAnsiTheme="minorHAnsi" w:eastAsiaTheme="minorEastAsia" w:cstheme="minorBidi"/>
          <w:szCs w:val="22"/>
        </w:rPr>
      </w:pPr>
      <w:r>
        <w:fldChar w:fldCharType="begin"/>
      </w:r>
      <w:r>
        <w:instrText xml:space="preserve"> HYPERLINK \l "_Toc159507845" </w:instrText>
      </w:r>
      <w:r>
        <w:fldChar w:fldCharType="separate"/>
      </w:r>
      <w:r>
        <w:rPr>
          <w:rStyle w:val="33"/>
        </w:rPr>
        <w:t xml:space="preserve">5 </w:t>
      </w:r>
      <w:r>
        <w:rPr>
          <w:rStyle w:val="33"/>
          <w:rFonts w:hint="eastAsia"/>
        </w:rPr>
        <w:t xml:space="preserve"> 组织架构</w:t>
      </w:r>
      <w:r>
        <w:tab/>
      </w:r>
      <w:r>
        <w:fldChar w:fldCharType="begin"/>
      </w:r>
      <w:r>
        <w:instrText xml:space="preserve"> PAGEREF _Toc159507845 \h </w:instrText>
      </w:r>
      <w:r>
        <w:fldChar w:fldCharType="separate"/>
      </w:r>
      <w:r>
        <w:t>2</w:t>
      </w:r>
      <w:r>
        <w:fldChar w:fldCharType="end"/>
      </w:r>
      <w:r>
        <w:fldChar w:fldCharType="end"/>
      </w:r>
    </w:p>
    <w:p w14:paraId="49BFF15B">
      <w:pPr>
        <w:pStyle w:val="20"/>
        <w:tabs>
          <w:tab w:val="right" w:leader="dot" w:pos="9344"/>
        </w:tabs>
        <w:rPr>
          <w:rFonts w:asciiTheme="minorHAnsi" w:hAnsiTheme="minorHAnsi" w:eastAsiaTheme="minorEastAsia" w:cstheme="minorBidi"/>
          <w:szCs w:val="22"/>
        </w:rPr>
      </w:pPr>
      <w:r>
        <w:fldChar w:fldCharType="begin"/>
      </w:r>
      <w:r>
        <w:instrText xml:space="preserve"> HYPERLINK \l "_Toc159507846" </w:instrText>
      </w:r>
      <w:r>
        <w:fldChar w:fldCharType="separate"/>
      </w:r>
      <w:r>
        <w:rPr>
          <w:rStyle w:val="33"/>
        </w:rPr>
        <w:t xml:space="preserve">6 </w:t>
      </w:r>
      <w:r>
        <w:rPr>
          <w:rStyle w:val="33"/>
          <w:rFonts w:hint="eastAsia"/>
        </w:rPr>
        <w:t xml:space="preserve"> 机构设置</w:t>
      </w:r>
      <w:r>
        <w:tab/>
      </w:r>
      <w:r>
        <w:fldChar w:fldCharType="begin"/>
      </w:r>
      <w:r>
        <w:instrText xml:space="preserve"> PAGEREF _Toc159507846 \h </w:instrText>
      </w:r>
      <w:r>
        <w:fldChar w:fldCharType="separate"/>
      </w:r>
      <w:r>
        <w:t>4</w:t>
      </w:r>
      <w:r>
        <w:fldChar w:fldCharType="end"/>
      </w:r>
      <w:r>
        <w:fldChar w:fldCharType="end"/>
      </w:r>
    </w:p>
    <w:p w14:paraId="5E818333">
      <w:pPr>
        <w:pStyle w:val="20"/>
        <w:tabs>
          <w:tab w:val="right" w:leader="dot" w:pos="9344"/>
        </w:tabs>
        <w:rPr>
          <w:rFonts w:asciiTheme="minorHAnsi" w:hAnsiTheme="minorHAnsi" w:eastAsiaTheme="minorEastAsia" w:cstheme="minorBidi"/>
          <w:szCs w:val="22"/>
        </w:rPr>
      </w:pPr>
      <w:r>
        <w:fldChar w:fldCharType="begin"/>
      </w:r>
      <w:r>
        <w:instrText xml:space="preserve"> HYPERLINK \l "_Toc159507847" </w:instrText>
      </w:r>
      <w:r>
        <w:fldChar w:fldCharType="separate"/>
      </w:r>
      <w:r>
        <w:rPr>
          <w:rStyle w:val="33"/>
        </w:rPr>
        <w:t xml:space="preserve">7 </w:t>
      </w:r>
      <w:r>
        <w:rPr>
          <w:rStyle w:val="33"/>
          <w:rFonts w:hint="eastAsia"/>
        </w:rPr>
        <w:t xml:space="preserve"> 场所设施</w:t>
      </w:r>
      <w:r>
        <w:tab/>
      </w:r>
      <w:r>
        <w:fldChar w:fldCharType="begin"/>
      </w:r>
      <w:r>
        <w:instrText xml:space="preserve"> PAGEREF _Toc159507847 \h </w:instrText>
      </w:r>
      <w:r>
        <w:fldChar w:fldCharType="separate"/>
      </w:r>
      <w:r>
        <w:t>5</w:t>
      </w:r>
      <w:r>
        <w:fldChar w:fldCharType="end"/>
      </w:r>
      <w:r>
        <w:fldChar w:fldCharType="end"/>
      </w:r>
    </w:p>
    <w:p w14:paraId="2532EE10">
      <w:pPr>
        <w:pStyle w:val="20"/>
        <w:tabs>
          <w:tab w:val="right" w:leader="dot" w:pos="9344"/>
        </w:tabs>
        <w:rPr>
          <w:rFonts w:asciiTheme="minorHAnsi" w:hAnsiTheme="minorHAnsi" w:eastAsiaTheme="minorEastAsia" w:cstheme="minorBidi"/>
          <w:szCs w:val="22"/>
        </w:rPr>
      </w:pPr>
      <w:r>
        <w:fldChar w:fldCharType="begin"/>
      </w:r>
      <w:r>
        <w:instrText xml:space="preserve"> HYPERLINK \l "_Toc159507848" </w:instrText>
      </w:r>
      <w:r>
        <w:fldChar w:fldCharType="separate"/>
      </w:r>
      <w:r>
        <w:rPr>
          <w:rStyle w:val="33"/>
        </w:rPr>
        <w:t xml:space="preserve">8 </w:t>
      </w:r>
      <w:r>
        <w:rPr>
          <w:rStyle w:val="33"/>
          <w:rFonts w:hint="eastAsia"/>
        </w:rPr>
        <w:t xml:space="preserve"> 信息化建设</w:t>
      </w:r>
      <w:r>
        <w:tab/>
      </w:r>
      <w:r>
        <w:fldChar w:fldCharType="begin"/>
      </w:r>
      <w:r>
        <w:instrText xml:space="preserve"> PAGEREF _Toc159507848 \h </w:instrText>
      </w:r>
      <w:r>
        <w:fldChar w:fldCharType="separate"/>
      </w:r>
      <w:r>
        <w:t>7</w:t>
      </w:r>
      <w:r>
        <w:fldChar w:fldCharType="end"/>
      </w:r>
      <w:r>
        <w:fldChar w:fldCharType="end"/>
      </w:r>
    </w:p>
    <w:p w14:paraId="00C6BEE4">
      <w:pPr>
        <w:pStyle w:val="20"/>
        <w:tabs>
          <w:tab w:val="right" w:leader="dot" w:pos="9344"/>
        </w:tabs>
        <w:rPr>
          <w:rFonts w:asciiTheme="minorHAnsi" w:hAnsiTheme="minorHAnsi" w:eastAsiaTheme="minorEastAsia" w:cstheme="minorBidi"/>
          <w:szCs w:val="22"/>
        </w:rPr>
      </w:pPr>
      <w:r>
        <w:fldChar w:fldCharType="begin"/>
      </w:r>
      <w:r>
        <w:instrText xml:space="preserve"> HYPERLINK \l "_Toc159507849" </w:instrText>
      </w:r>
      <w:r>
        <w:fldChar w:fldCharType="separate"/>
      </w:r>
      <w:r>
        <w:rPr>
          <w:rStyle w:val="33"/>
        </w:rPr>
        <w:t xml:space="preserve">9 </w:t>
      </w:r>
      <w:r>
        <w:rPr>
          <w:rStyle w:val="33"/>
          <w:rFonts w:hint="eastAsia"/>
        </w:rPr>
        <w:t xml:space="preserve"> 运行要求</w:t>
      </w:r>
      <w:r>
        <w:tab/>
      </w:r>
      <w:r>
        <w:fldChar w:fldCharType="begin"/>
      </w:r>
      <w:r>
        <w:instrText xml:space="preserve"> PAGEREF _Toc159507849 \h </w:instrText>
      </w:r>
      <w:r>
        <w:fldChar w:fldCharType="separate"/>
      </w:r>
      <w:r>
        <w:t>8</w:t>
      </w:r>
      <w:r>
        <w:fldChar w:fldCharType="end"/>
      </w:r>
      <w:r>
        <w:fldChar w:fldCharType="end"/>
      </w:r>
    </w:p>
    <w:p w14:paraId="2A2FEF3D">
      <w:pPr>
        <w:pStyle w:val="20"/>
        <w:tabs>
          <w:tab w:val="right" w:leader="dot" w:pos="9344"/>
        </w:tabs>
        <w:rPr>
          <w:rFonts w:asciiTheme="minorHAnsi" w:hAnsiTheme="minorHAnsi" w:eastAsiaTheme="minorEastAsia" w:cstheme="minorBidi"/>
          <w:szCs w:val="22"/>
        </w:rPr>
      </w:pPr>
      <w:r>
        <w:fldChar w:fldCharType="begin"/>
      </w:r>
      <w:r>
        <w:instrText xml:space="preserve"> HYPERLINK \l "_Toc159507850" </w:instrText>
      </w:r>
      <w:r>
        <w:fldChar w:fldCharType="separate"/>
      </w:r>
      <w:r>
        <w:rPr>
          <w:rStyle w:val="33"/>
        </w:rPr>
        <w:t xml:space="preserve">10 </w:t>
      </w:r>
      <w:r>
        <w:rPr>
          <w:rStyle w:val="33"/>
          <w:rFonts w:hint="eastAsia"/>
        </w:rPr>
        <w:t xml:space="preserve"> 矛盾纠纷调处化解</w:t>
      </w:r>
      <w:r>
        <w:tab/>
      </w:r>
      <w:r>
        <w:fldChar w:fldCharType="begin"/>
      </w:r>
      <w:r>
        <w:instrText xml:space="preserve"> PAGEREF _Toc159507850 \h </w:instrText>
      </w:r>
      <w:r>
        <w:fldChar w:fldCharType="separate"/>
      </w:r>
      <w:r>
        <w:t>9</w:t>
      </w:r>
      <w:r>
        <w:fldChar w:fldCharType="end"/>
      </w:r>
      <w:r>
        <w:fldChar w:fldCharType="end"/>
      </w:r>
    </w:p>
    <w:p w14:paraId="41D65572">
      <w:pPr>
        <w:pStyle w:val="20"/>
        <w:tabs>
          <w:tab w:val="right" w:leader="dot" w:pos="9344"/>
        </w:tabs>
        <w:rPr>
          <w:rFonts w:asciiTheme="minorHAnsi" w:hAnsiTheme="minorHAnsi" w:eastAsiaTheme="minorEastAsia" w:cstheme="minorBidi"/>
          <w:szCs w:val="22"/>
        </w:rPr>
      </w:pPr>
      <w:r>
        <w:fldChar w:fldCharType="begin"/>
      </w:r>
      <w:r>
        <w:instrText xml:space="preserve"> HYPERLINK \l "_Toc159507851" </w:instrText>
      </w:r>
      <w:r>
        <w:fldChar w:fldCharType="separate"/>
      </w:r>
      <w:r>
        <w:rPr>
          <w:rStyle w:val="33"/>
        </w:rPr>
        <w:t xml:space="preserve">11 </w:t>
      </w:r>
      <w:r>
        <w:rPr>
          <w:rStyle w:val="33"/>
          <w:rFonts w:hint="eastAsia"/>
        </w:rPr>
        <w:t xml:space="preserve"> 日常管理</w:t>
      </w:r>
      <w:r>
        <w:tab/>
      </w:r>
      <w:r>
        <w:fldChar w:fldCharType="begin"/>
      </w:r>
      <w:r>
        <w:instrText xml:space="preserve"> PAGEREF _Toc159507851 \h </w:instrText>
      </w:r>
      <w:r>
        <w:fldChar w:fldCharType="separate"/>
      </w:r>
      <w:r>
        <w:t>13</w:t>
      </w:r>
      <w:r>
        <w:fldChar w:fldCharType="end"/>
      </w:r>
      <w:r>
        <w:fldChar w:fldCharType="end"/>
      </w:r>
    </w:p>
    <w:p w14:paraId="635EE29E">
      <w:pPr>
        <w:pStyle w:val="92"/>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p w14:paraId="56208D45">
      <w:pPr>
        <w:pStyle w:val="90"/>
        <w:spacing w:after="468"/>
      </w:pPr>
      <w:bookmarkStart w:id="20" w:name="_Toc159507840"/>
      <w:bookmarkStart w:id="21" w:name="BookMark2"/>
      <w:r>
        <w:rPr>
          <w:spacing w:val="320"/>
        </w:rPr>
        <w:t>前</w:t>
      </w:r>
      <w:r>
        <w:t>言</w:t>
      </w:r>
      <w:bookmarkEnd w:id="20"/>
    </w:p>
    <w:p w14:paraId="36855702">
      <w:pPr>
        <w:pStyle w:val="57"/>
        <w:ind w:firstLine="420"/>
      </w:pPr>
      <w:r>
        <w:rPr>
          <w:rFonts w:hint="eastAsia"/>
        </w:rPr>
        <w:t>本文件按照GB/T 1.1—2020《标准化工作导则  第1部分：标准化文件的结构和起草规则》的规定起草。</w:t>
      </w:r>
    </w:p>
    <w:p w14:paraId="2CC9C268">
      <w:pPr>
        <w:pStyle w:val="57"/>
        <w:ind w:firstLine="420"/>
      </w:pPr>
      <w:r>
        <w:rPr>
          <w:rFonts w:hint="eastAsia"/>
        </w:rPr>
        <w:t>请注意本文件的某些内容可能涉及专利。本文件的发布机构不承担识别专利的责任。</w:t>
      </w:r>
    </w:p>
    <w:p w14:paraId="334BEF59">
      <w:pPr>
        <w:pStyle w:val="57"/>
        <w:ind w:firstLine="420"/>
      </w:pPr>
      <w:r>
        <w:rPr>
          <w:rFonts w:hint="eastAsia"/>
        </w:rPr>
        <w:t>本文件由中共南通市海门区委政法委员会、</w:t>
      </w:r>
      <w:r>
        <w:rPr>
          <w:rFonts w:hint="eastAsia"/>
          <w:lang w:eastAsia="zh-CN"/>
        </w:rPr>
        <w:t>南通市海门区司法局、</w:t>
      </w:r>
      <w:r>
        <w:rPr>
          <w:rFonts w:hint="eastAsia"/>
        </w:rPr>
        <w:t>南通市海门区</w:t>
      </w:r>
      <w:r>
        <w:rPr>
          <w:rFonts w:hint="eastAsia"/>
          <w:lang w:val="en-US" w:eastAsia="zh-CN"/>
        </w:rPr>
        <w:t>社会治理综合服务中心</w:t>
      </w:r>
      <w:r>
        <w:rPr>
          <w:rFonts w:hint="eastAsia"/>
        </w:rPr>
        <w:t>提出。</w:t>
      </w:r>
    </w:p>
    <w:p w14:paraId="1152AD37">
      <w:pPr>
        <w:pStyle w:val="57"/>
        <w:ind w:firstLine="420"/>
      </w:pPr>
      <w:r>
        <w:rPr>
          <w:rFonts w:hint="eastAsia"/>
        </w:rPr>
        <w:t>本文件由中共南通市委政法委员会归口。</w:t>
      </w:r>
    </w:p>
    <w:p w14:paraId="59F77255">
      <w:pPr>
        <w:pStyle w:val="57"/>
        <w:ind w:firstLine="420"/>
      </w:pPr>
      <w:r>
        <w:rPr>
          <w:rFonts w:hint="eastAsia"/>
        </w:rPr>
        <w:t>本文件起草单位：中共南通市海门区委政法委员会、南通市海门区司法局、南通市海门区社会治理综合服务中心。</w:t>
      </w:r>
    </w:p>
    <w:p w14:paraId="159F3C85">
      <w:pPr>
        <w:pStyle w:val="57"/>
        <w:ind w:firstLine="420"/>
      </w:pPr>
      <w:r>
        <w:rPr>
          <w:rFonts w:hint="eastAsia"/>
        </w:rPr>
        <w:t>本文件主要起草人：姜勇、祝卫兵、陈杰、朱彦臻、高志雄、马建平、胡春松、陆红丹、陈宝磊、陈曦。</w:t>
      </w:r>
    </w:p>
    <w:p w14:paraId="0E69F7FA">
      <w:pPr>
        <w:pStyle w:val="57"/>
        <w:ind w:firstLine="420"/>
      </w:pPr>
    </w:p>
    <w:p w14:paraId="52ACCAC9">
      <w:pPr>
        <w:pStyle w:val="57"/>
        <w:ind w:firstLine="420"/>
        <w:sectPr>
          <w:pgSz w:w="11906" w:h="16838"/>
          <w:pgMar w:top="2410" w:right="1134" w:bottom="1134" w:left="1134" w:header="1418" w:footer="1134" w:gutter="284"/>
          <w:pgNumType w:fmt="upperRoman"/>
          <w:cols w:space="425" w:num="1"/>
          <w:formProt w:val="0"/>
          <w:docGrid w:type="lines" w:linePitch="312" w:charSpace="0"/>
        </w:sectPr>
      </w:pPr>
      <w:bookmarkStart w:id="53" w:name="_GoBack"/>
      <w:bookmarkEnd w:id="53"/>
    </w:p>
    <w:bookmarkEnd w:id="21"/>
    <w:p w14:paraId="1EC396BF">
      <w:pPr>
        <w:spacing w:line="20" w:lineRule="exact"/>
        <w:jc w:val="center"/>
        <w:rPr>
          <w:rFonts w:ascii="黑体" w:hAnsi="黑体" w:eastAsia="黑体"/>
          <w:sz w:val="32"/>
          <w:szCs w:val="32"/>
        </w:rPr>
      </w:pPr>
      <w:bookmarkStart w:id="22" w:name="BookMark4"/>
    </w:p>
    <w:p w14:paraId="206E14F6">
      <w:pPr>
        <w:spacing w:line="20" w:lineRule="exact"/>
        <w:jc w:val="center"/>
        <w:rPr>
          <w:rFonts w:ascii="黑体" w:hAnsi="黑体" w:eastAsia="黑体"/>
          <w:sz w:val="32"/>
          <w:szCs w:val="32"/>
        </w:rPr>
      </w:pPr>
    </w:p>
    <w:sdt>
      <w:sdtPr>
        <w:tag w:val="NEW_STAND_NAME"/>
        <w:id w:val="595910757"/>
        <w:lock w:val="sdtLocked"/>
        <w:placeholder>
          <w:docPart w:val="DD4737240C1847D1833F1AD6B0749878"/>
        </w:placeholder>
      </w:sdtPr>
      <w:sdtContent>
        <w:p w14:paraId="52B8F58F">
          <w:pPr>
            <w:pStyle w:val="178"/>
            <w:spacing w:beforeLines="1" w:afterLines="220"/>
          </w:pPr>
          <w:bookmarkStart w:id="23" w:name="NEW_STAND_NAME"/>
          <w:r>
            <w:rPr>
              <w:rFonts w:hint="eastAsia"/>
            </w:rPr>
            <w:t>社会治理综合服务中心建设与管理规范</w:t>
          </w:r>
        </w:p>
      </w:sdtContent>
    </w:sdt>
    <w:bookmarkEnd w:id="23"/>
    <w:p w14:paraId="5C49DA54">
      <w:pPr>
        <w:pStyle w:val="105"/>
        <w:spacing w:before="312" w:after="312"/>
      </w:pPr>
      <w:bookmarkStart w:id="24" w:name="_Toc17233325"/>
      <w:bookmarkStart w:id="25" w:name="_Toc26986530"/>
      <w:bookmarkStart w:id="26" w:name="_Toc159507841"/>
      <w:bookmarkStart w:id="27" w:name="_Toc17233333"/>
      <w:bookmarkStart w:id="28" w:name="_Toc26648465"/>
      <w:bookmarkStart w:id="29" w:name="_Toc26718930"/>
      <w:bookmarkStart w:id="30" w:name="_Toc26986771"/>
      <w:bookmarkStart w:id="31" w:name="_Toc24884211"/>
      <w:bookmarkStart w:id="32" w:name="_Toc24884218"/>
      <w:r>
        <w:rPr>
          <w:rFonts w:hint="eastAsia"/>
        </w:rPr>
        <w:t>范围</w:t>
      </w:r>
      <w:bookmarkEnd w:id="24"/>
      <w:bookmarkEnd w:id="25"/>
      <w:bookmarkEnd w:id="26"/>
      <w:bookmarkEnd w:id="27"/>
      <w:bookmarkEnd w:id="28"/>
      <w:bookmarkEnd w:id="29"/>
      <w:bookmarkEnd w:id="30"/>
      <w:bookmarkEnd w:id="31"/>
      <w:bookmarkEnd w:id="32"/>
    </w:p>
    <w:p w14:paraId="07BCC873">
      <w:pPr>
        <w:pStyle w:val="57"/>
        <w:ind w:firstLine="420"/>
      </w:pPr>
      <w:bookmarkStart w:id="33" w:name="_Toc24884219"/>
      <w:bookmarkStart w:id="34" w:name="_Toc24884212"/>
      <w:bookmarkStart w:id="35" w:name="_Toc26648466"/>
      <w:bookmarkStart w:id="36" w:name="_Toc17233334"/>
      <w:bookmarkStart w:id="37" w:name="_Toc17233326"/>
      <w:r>
        <w:rPr>
          <w:rFonts w:hint="eastAsia"/>
        </w:rPr>
        <w:t xml:space="preserve">本文件给出了社会治理综合服务中心建设的总体原则，规定了组织架构、机构设置、场所设施、信息化建设、运行要求、矛盾纠纷调解和日常管理的要求。 </w:t>
      </w:r>
    </w:p>
    <w:p w14:paraId="008D612E">
      <w:pPr>
        <w:pStyle w:val="57"/>
        <w:ind w:firstLine="420"/>
      </w:pPr>
      <w:r>
        <w:rPr>
          <w:rFonts w:hint="eastAsia"/>
        </w:rPr>
        <w:t>本文件适用于指导县（市</w:t>
      </w:r>
      <w:r>
        <w:rPr>
          <w:rFonts w:hint="eastAsia"/>
          <w:lang w:eastAsia="zh-CN"/>
        </w:rPr>
        <w:t>、</w:t>
      </w:r>
      <w:r>
        <w:rPr>
          <w:rFonts w:hint="eastAsia"/>
        </w:rPr>
        <w:t>区）、镇（街道）、村（社区）</w:t>
      </w:r>
      <w:r>
        <w:rPr>
          <w:rFonts w:hint="eastAsia"/>
          <w:highlight w:val="none"/>
          <w:lang w:val="en-US" w:eastAsia="zh-CN"/>
        </w:rPr>
        <w:t>三级</w:t>
      </w:r>
      <w:r>
        <w:rPr>
          <w:rFonts w:hint="eastAsia"/>
        </w:rPr>
        <w:t>社会治理综合服务中心的建设与管理。</w:t>
      </w:r>
    </w:p>
    <w:p w14:paraId="03EBE5B3">
      <w:pPr>
        <w:pStyle w:val="105"/>
        <w:spacing w:before="312" w:after="312"/>
      </w:pPr>
      <w:bookmarkStart w:id="38" w:name="_Toc159507842"/>
      <w:bookmarkStart w:id="39" w:name="_Toc26986531"/>
      <w:bookmarkStart w:id="40" w:name="_Toc26986772"/>
      <w:bookmarkStart w:id="41" w:name="_Toc267189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9D422C89B4B6423FA3C6AEDB708BEFE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96D3A78">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D666E42">
      <w:pPr>
        <w:pStyle w:val="57"/>
        <w:ind w:firstLine="420"/>
      </w:pPr>
      <w:r>
        <w:rPr>
          <w:rFonts w:hint="eastAsia"/>
        </w:rPr>
        <w:t xml:space="preserve">GB 2894 安全标志及其使用导则 </w:t>
      </w:r>
    </w:p>
    <w:p w14:paraId="7C403D67">
      <w:pPr>
        <w:pStyle w:val="57"/>
        <w:ind w:firstLine="420"/>
      </w:pPr>
      <w:r>
        <w:rPr>
          <w:rFonts w:hint="eastAsia"/>
        </w:rPr>
        <w:t xml:space="preserve">GB 13495.1 消防安全标志 第1部分：标志 </w:t>
      </w:r>
    </w:p>
    <w:p w14:paraId="628E5566">
      <w:pPr>
        <w:pStyle w:val="57"/>
        <w:ind w:firstLine="420"/>
      </w:pPr>
      <w:r>
        <w:rPr>
          <w:rFonts w:hint="eastAsia"/>
        </w:rPr>
        <w:t xml:space="preserve">GB/T 15566.1 公共信息导向系统 设置原则与要求 第1部分：总则 </w:t>
      </w:r>
    </w:p>
    <w:p w14:paraId="4348A43F">
      <w:pPr>
        <w:pStyle w:val="57"/>
        <w:ind w:firstLine="420"/>
      </w:pPr>
      <w:r>
        <w:rPr>
          <w:rFonts w:hint="eastAsia"/>
        </w:rPr>
        <w:t xml:space="preserve">GB 15630 消防安全标志设置要求 </w:t>
      </w:r>
    </w:p>
    <w:p w14:paraId="6F3DA84C">
      <w:pPr>
        <w:pStyle w:val="57"/>
        <w:ind w:firstLine="420"/>
      </w:pPr>
      <w:r>
        <w:rPr>
          <w:rFonts w:hint="eastAsia"/>
        </w:rPr>
        <w:t xml:space="preserve">GB/T 20269 信息安全技术 信息系统安全管理要求 </w:t>
      </w:r>
    </w:p>
    <w:p w14:paraId="2F11984B">
      <w:pPr>
        <w:pStyle w:val="57"/>
        <w:ind w:firstLine="420"/>
      </w:pPr>
      <w:r>
        <w:rPr>
          <w:rFonts w:hint="eastAsia"/>
        </w:rPr>
        <w:t xml:space="preserve">GB/T 20270 信息安全技术 网络基础安全技术要求 </w:t>
      </w:r>
    </w:p>
    <w:p w14:paraId="22C5FA0A">
      <w:pPr>
        <w:pStyle w:val="57"/>
        <w:ind w:firstLine="420"/>
      </w:pPr>
      <w:r>
        <w:rPr>
          <w:rFonts w:hint="eastAsia"/>
        </w:rPr>
        <w:t xml:space="preserve">GB/T 20271 信息安全技术 信息系统通用安全技术要求 </w:t>
      </w:r>
    </w:p>
    <w:p w14:paraId="415BAEAE">
      <w:pPr>
        <w:pStyle w:val="57"/>
        <w:ind w:firstLine="420"/>
      </w:pPr>
      <w:r>
        <w:rPr>
          <w:rFonts w:hint="eastAsia"/>
        </w:rPr>
        <w:t xml:space="preserve">GB/T 31000-2015 社会治安综合治理基础数据规范 </w:t>
      </w:r>
    </w:p>
    <w:p w14:paraId="4D0C35E5">
      <w:pPr>
        <w:pStyle w:val="57"/>
        <w:ind w:firstLine="420"/>
      </w:pPr>
      <w:r>
        <w:rPr>
          <w:rFonts w:hint="eastAsia"/>
        </w:rPr>
        <w:t xml:space="preserve">GB/T 33200-2016 社会治安综合治理综治中心建设与管理规范 </w:t>
      </w:r>
    </w:p>
    <w:p w14:paraId="0FDB37FA">
      <w:pPr>
        <w:pStyle w:val="105"/>
        <w:spacing w:before="312" w:after="312"/>
      </w:pPr>
      <w:bookmarkStart w:id="42" w:name="_Toc159507843"/>
      <w:r>
        <w:rPr>
          <w:rFonts w:hint="eastAsia"/>
          <w:szCs w:val="21"/>
        </w:rPr>
        <w:t>术语和定义</w:t>
      </w:r>
      <w:bookmarkEnd w:id="42"/>
    </w:p>
    <w:sdt>
      <w:sdtPr>
        <w:id w:val="-1909835108"/>
        <w:placeholder>
          <w:docPart w:val="D56DFCDA99CD43CD95A8B1E186EBA1A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5CC060D">
          <w:pPr>
            <w:pStyle w:val="57"/>
            <w:ind w:firstLine="420"/>
          </w:pPr>
          <w:bookmarkStart w:id="43" w:name="_Toc26986532"/>
          <w:bookmarkEnd w:id="43"/>
          <w:r>
            <w:t>下列术语和定义适用于本文件。</w:t>
          </w:r>
        </w:p>
      </w:sdtContent>
    </w:sdt>
    <w:p w14:paraId="02FC491F">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highlight w:val="none"/>
          <w:lang w:val="en-US" w:eastAsia="zh-CN"/>
        </w:rPr>
        <w:t>全市</w:t>
      </w:r>
      <w:r>
        <w:rPr>
          <w:rFonts w:hint="eastAsia" w:ascii="黑体" w:hAnsi="黑体" w:eastAsia="黑体"/>
          <w:highlight w:val="none"/>
        </w:rPr>
        <w:t>矛</w:t>
      </w:r>
      <w:r>
        <w:rPr>
          <w:rFonts w:hint="eastAsia" w:ascii="黑体" w:hAnsi="黑体" w:eastAsia="黑体"/>
        </w:rPr>
        <w:t>盾纠纷风险隐患管理系统 management information system of conflicts and risks</w:t>
      </w:r>
    </w:p>
    <w:p w14:paraId="33E8852D">
      <w:pPr>
        <w:pStyle w:val="57"/>
        <w:ind w:firstLine="420"/>
        <w:rPr>
          <w:rFonts w:hAnsi="Calibri"/>
        </w:rPr>
      </w:pPr>
      <w:r>
        <w:rPr>
          <w:rFonts w:hint="eastAsia"/>
        </w:rPr>
        <w:t>以社会治理综合服务需求为导向，充分利用已有基础设施，整合各类资源，通过系统文本、图像等各种信息数据进行集成、交换、共享等方式，建设纵向贯通、横向集成、安全可靠的</w:t>
      </w:r>
      <w:r>
        <w:rPr>
          <w:rFonts w:hint="eastAsia"/>
          <w:lang w:val="en-US" w:eastAsia="zh-CN"/>
        </w:rPr>
        <w:t>社会治理综合服务管理系统</w:t>
      </w:r>
      <w:r>
        <w:rPr>
          <w:rFonts w:hint="eastAsia"/>
        </w:rPr>
        <w:t xml:space="preserve">。 </w:t>
      </w:r>
    </w:p>
    <w:p w14:paraId="60321981">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矛盾纠纷调处化解 mediation and resolution of contradictions and disputes </w:t>
      </w:r>
    </w:p>
    <w:p w14:paraId="3C670C48">
      <w:pPr>
        <w:pStyle w:val="57"/>
        <w:ind w:firstLine="420"/>
        <w:rPr>
          <w:rFonts w:hAnsi="Calibri"/>
        </w:rPr>
      </w:pPr>
      <w:r>
        <w:rPr>
          <w:rFonts w:hint="eastAsia"/>
        </w:rPr>
        <w:t xml:space="preserve">各级调解组织通过说服、疏导等方法，促使当事人在依法平等协商基础上自愿达成调解协议，解决矛盾纠纷的活动。 </w:t>
      </w:r>
    </w:p>
    <w:p w14:paraId="203740EC">
      <w:pPr>
        <w:pStyle w:val="105"/>
        <w:spacing w:before="312" w:after="312"/>
      </w:pPr>
      <w:bookmarkStart w:id="44" w:name="_Toc159507844"/>
      <w:r>
        <w:rPr>
          <w:rFonts w:hint="eastAsia"/>
        </w:rPr>
        <w:t>总体原则</w:t>
      </w:r>
      <w:bookmarkEnd w:id="44"/>
    </w:p>
    <w:p w14:paraId="1EC87690">
      <w:pPr>
        <w:pStyle w:val="106"/>
        <w:spacing w:before="156" w:after="156"/>
      </w:pPr>
      <w:r>
        <w:rPr>
          <w:rFonts w:hint="eastAsia"/>
        </w:rPr>
        <w:t xml:space="preserve">明确定位 </w:t>
      </w:r>
    </w:p>
    <w:p w14:paraId="0E49150F">
      <w:pPr>
        <w:pStyle w:val="57"/>
        <w:ind w:firstLine="420"/>
        <w:rPr>
          <w:rFonts w:hAnsi="Calibri"/>
        </w:rPr>
      </w:pPr>
      <w:r>
        <w:rPr>
          <w:rFonts w:hint="eastAsia"/>
        </w:rPr>
        <w:t xml:space="preserve">社会治理综合服务中心是整合本级社会治理资源、创新社会综合治理方式的重要平台，是“一站式”矛盾纠纷多元化解平台的工作载体。 </w:t>
      </w:r>
    </w:p>
    <w:p w14:paraId="347DDED7">
      <w:pPr>
        <w:pStyle w:val="106"/>
        <w:spacing w:before="156" w:after="156"/>
      </w:pPr>
      <w:r>
        <w:rPr>
          <w:rFonts w:hint="eastAsia"/>
        </w:rPr>
        <w:t xml:space="preserve">合理规划 </w:t>
      </w:r>
    </w:p>
    <w:p w14:paraId="70639326">
      <w:pPr>
        <w:spacing w:line="440" w:lineRule="exact"/>
        <w:ind w:firstLine="420" w:firstLineChars="200"/>
        <w:rPr>
          <w:rFonts w:ascii="仿宋_GB2312" w:eastAsia="仿宋_GB2312"/>
          <w:sz w:val="28"/>
          <w:szCs w:val="28"/>
        </w:rPr>
      </w:pPr>
      <w:r>
        <w:rPr>
          <w:rFonts w:hint="eastAsia" w:ascii="宋体" w:hAnsi="Times New Roman"/>
          <w:kern w:val="0"/>
          <w:szCs w:val="20"/>
        </w:rPr>
        <w:t>根据人口分布、区域环境等因素，选择交通便利、群众办事方便的地方设立社会治理综合服务中心。根据办件数量，合理设计中心的规模，满足公共服务功能</w:t>
      </w:r>
      <w:r>
        <w:rPr>
          <w:rFonts w:hint="eastAsia" w:ascii="仿宋_GB2312" w:eastAsia="仿宋_GB2312"/>
          <w:sz w:val="28"/>
          <w:szCs w:val="28"/>
        </w:rPr>
        <w:t>。</w:t>
      </w:r>
    </w:p>
    <w:p w14:paraId="58449008">
      <w:pPr>
        <w:pStyle w:val="106"/>
        <w:spacing w:before="156" w:after="156"/>
      </w:pPr>
      <w:r>
        <w:rPr>
          <w:rFonts w:hint="eastAsia"/>
        </w:rPr>
        <w:t xml:space="preserve">集成服务 </w:t>
      </w:r>
    </w:p>
    <w:p w14:paraId="78C82EC0">
      <w:pPr>
        <w:pStyle w:val="57"/>
        <w:ind w:firstLine="420"/>
        <w:rPr>
          <w:rFonts w:hAnsi="Calibri"/>
        </w:rPr>
      </w:pPr>
      <w:r>
        <w:rPr>
          <w:rFonts w:hint="eastAsia"/>
        </w:rPr>
        <w:t xml:space="preserve">按照“一站式受理、一揽子处置、全链条解决”模式，由中心设置窗口，进驻单位派员，提供来访接待、矛盾调解、法律咨询等功能，接待、受理群众来信来电来访，现场解答或咨询，协调解决群众反映的困难和问题。 </w:t>
      </w:r>
    </w:p>
    <w:p w14:paraId="2E8E6B4E">
      <w:pPr>
        <w:pStyle w:val="106"/>
        <w:spacing w:before="156" w:after="156"/>
      </w:pPr>
      <w:r>
        <w:rPr>
          <w:rFonts w:hint="eastAsia"/>
        </w:rPr>
        <w:t xml:space="preserve">逐级解决 </w:t>
      </w:r>
    </w:p>
    <w:p w14:paraId="54E4F0AE">
      <w:pPr>
        <w:pStyle w:val="57"/>
        <w:ind w:firstLine="420"/>
        <w:rPr>
          <w:rFonts w:hAnsi="Calibri"/>
        </w:rPr>
      </w:pPr>
      <w:r>
        <w:rPr>
          <w:rFonts w:hint="eastAsia"/>
        </w:rPr>
        <w:t>充分发挥基层中心的力量，按照发生地点、事件层级，由相应的中心逐级解决问题，努力做到“小事不出村、大事不出镇、矛盾不上交”。本级不能解决的，及时提级上报。</w:t>
      </w:r>
    </w:p>
    <w:p w14:paraId="0BFCCCB4">
      <w:pPr>
        <w:pStyle w:val="105"/>
        <w:spacing w:before="312" w:after="312"/>
      </w:pPr>
      <w:bookmarkStart w:id="45" w:name="_Toc159507845"/>
      <w:r>
        <w:rPr>
          <w:rFonts w:hint="eastAsia"/>
        </w:rPr>
        <w:t>组织架构</w:t>
      </w:r>
      <w:bookmarkEnd w:id="45"/>
    </w:p>
    <w:p w14:paraId="0C812E30">
      <w:pPr>
        <w:pStyle w:val="106"/>
        <w:spacing w:before="156" w:after="156"/>
      </w:pPr>
      <w:r>
        <w:rPr>
          <w:rFonts w:hint="eastAsia"/>
        </w:rPr>
        <w:t xml:space="preserve">领导机构 </w:t>
      </w:r>
    </w:p>
    <w:p w14:paraId="1D0461FA">
      <w:pPr>
        <w:pStyle w:val="166"/>
      </w:pPr>
      <w:r>
        <w:rPr>
          <w:rFonts w:hint="eastAsia"/>
        </w:rPr>
        <w:t>县（市、区）委政法委统筹领导三级社会治理综合服务中心建设和运行。</w:t>
      </w:r>
    </w:p>
    <w:p w14:paraId="32E6C921">
      <w:pPr>
        <w:pStyle w:val="166"/>
      </w:pPr>
      <w:r>
        <w:rPr>
          <w:rFonts w:hint="eastAsia"/>
        </w:rPr>
        <w:t>镇（街道）党委统筹领导镇（街道）社会治理综合服务中心、村（社区）综治中心建设。</w:t>
      </w:r>
    </w:p>
    <w:p w14:paraId="04321318">
      <w:pPr>
        <w:pStyle w:val="166"/>
      </w:pPr>
      <w:r>
        <w:rPr>
          <w:rFonts w:hint="eastAsia"/>
        </w:rPr>
        <w:t>县（市、区）社会治理综合服务中心负责社会治理综合服务三级体系机制建设、业务运行和工作指导。</w:t>
      </w:r>
    </w:p>
    <w:p w14:paraId="5A44E8BF">
      <w:pPr>
        <w:pStyle w:val="166"/>
      </w:pPr>
      <w:r>
        <w:rPr>
          <w:rFonts w:hint="eastAsia"/>
        </w:rPr>
        <w:t>社会治理综合服务中心组织关系图见图1。</w:t>
      </w:r>
    </w:p>
    <w:p w14:paraId="71C006A7">
      <w:pPr>
        <w:spacing w:line="240" w:lineRule="auto"/>
        <w:rPr>
          <w:rFonts w:hint="eastAsia" w:ascii="仿宋_GB2312" w:eastAsia="仿宋_GB2312"/>
          <w:sz w:val="28"/>
          <w:szCs w:val="28"/>
          <w:lang w:eastAsia="zh-CN"/>
        </w:rPr>
      </w:pPr>
      <w:r>
        <w:rPr>
          <w:rFonts w:hint="eastAsia" w:ascii="仿宋_GB2312" w:eastAsia="仿宋_GB2312"/>
          <w:sz w:val="28"/>
          <w:szCs w:val="28"/>
          <w:lang w:eastAsia="zh-CN"/>
        </w:rPr>
        <w:drawing>
          <wp:inline distT="0" distB="0" distL="114300" distR="114300">
            <wp:extent cx="5870575" cy="2864485"/>
            <wp:effectExtent l="0" t="0" r="12065" b="635"/>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16"/>
                    <a:srcRect l="2503" b="3221"/>
                    <a:stretch>
                      <a:fillRect/>
                    </a:stretch>
                  </pic:blipFill>
                  <pic:spPr>
                    <a:xfrm>
                      <a:off x="0" y="0"/>
                      <a:ext cx="5870575" cy="2864485"/>
                    </a:xfrm>
                    <a:prstGeom prst="rect">
                      <a:avLst/>
                    </a:prstGeom>
                  </pic:spPr>
                </pic:pic>
              </a:graphicData>
            </a:graphic>
          </wp:inline>
        </w:drawing>
      </w:r>
    </w:p>
    <w:p w14:paraId="55F1755D">
      <w:pPr>
        <w:pStyle w:val="115"/>
        <w:spacing w:before="156" w:after="156"/>
      </w:pPr>
      <w:r>
        <w:rPr>
          <w:rFonts w:hint="eastAsia"/>
        </w:rPr>
        <w:t>社会治理综合服务中心组织关系图</w:t>
      </w:r>
    </w:p>
    <w:p w14:paraId="6E41C901">
      <w:pPr>
        <w:pStyle w:val="106"/>
        <w:spacing w:before="156" w:after="156"/>
      </w:pPr>
      <w:r>
        <w:rPr>
          <w:rFonts w:hint="eastAsia"/>
        </w:rPr>
        <w:t>县（市、区）社会治理综合服务中心</w:t>
      </w:r>
    </w:p>
    <w:p w14:paraId="6FF669E9">
      <w:pPr>
        <w:pStyle w:val="166"/>
        <w:rPr>
          <w:rFonts w:hAnsi="Calibri"/>
        </w:rPr>
      </w:pPr>
      <w:r>
        <w:rPr>
          <w:rFonts w:hint="eastAsia"/>
        </w:rPr>
        <w:t>成立功能型党委，由政法委相关领导和进驻中心单位党组织主要负责人组成。</w:t>
      </w:r>
    </w:p>
    <w:p w14:paraId="55413AC5">
      <w:pPr>
        <w:pStyle w:val="166"/>
      </w:pPr>
      <w:r>
        <w:rPr>
          <w:rFonts w:hint="eastAsia"/>
        </w:rPr>
        <w:t>整合矛盾纠纷调处、诉讼服务、人民来访、社区矫正、法律援助、公证服务、行政复议、12345热线、网格服务等职能，推动多功能合一。</w:t>
      </w:r>
    </w:p>
    <w:p w14:paraId="64701A0B">
      <w:pPr>
        <w:pStyle w:val="166"/>
      </w:pPr>
      <w:r>
        <w:rPr>
          <w:rFonts w:hint="eastAsia"/>
        </w:rPr>
        <w:t>根据本地区情况</w:t>
      </w:r>
      <w:r>
        <w:rPr>
          <w:rFonts w:hint="eastAsia"/>
          <w:color w:val="auto"/>
        </w:rPr>
        <w:t>宜</w:t>
      </w:r>
      <w:r>
        <w:rPr>
          <w:rFonts w:hint="eastAsia"/>
        </w:rPr>
        <w:t>配备</w:t>
      </w:r>
      <w:r>
        <w:rPr>
          <w:rFonts w:hint="eastAsia"/>
          <w:highlight w:val="none"/>
          <w:lang w:val="en-US" w:eastAsia="zh-CN"/>
        </w:rPr>
        <w:t>不少于10名</w:t>
      </w:r>
      <w:r>
        <w:rPr>
          <w:rFonts w:hint="eastAsia"/>
          <w:highlight w:val="none"/>
        </w:rPr>
        <w:t>事业编制人员及</w:t>
      </w:r>
      <w:r>
        <w:rPr>
          <w:rFonts w:hint="eastAsia"/>
          <w:highlight w:val="none"/>
          <w:lang w:val="en-US" w:eastAsia="zh-CN"/>
        </w:rPr>
        <w:t>不少于10名</w:t>
      </w:r>
      <w:r>
        <w:rPr>
          <w:rFonts w:hint="eastAsia"/>
        </w:rPr>
        <w:t>专职调解员（具体数量可根据辖区人口按一定比例配备）。</w:t>
      </w:r>
    </w:p>
    <w:p w14:paraId="4AD73CCA">
      <w:pPr>
        <w:pStyle w:val="166"/>
      </w:pPr>
      <w:r>
        <w:rPr>
          <w:rFonts w:hint="eastAsia"/>
        </w:rPr>
        <w:t xml:space="preserve">社会治理综合服务中心设置综合科、接访科、调处科、督查科或具备中心运行需要的若干功能科室。 </w:t>
      </w:r>
    </w:p>
    <w:p w14:paraId="013CF415">
      <w:pPr>
        <w:pStyle w:val="166"/>
        <w:rPr>
          <w:highlight w:val="none"/>
        </w:rPr>
      </w:pPr>
      <w:r>
        <w:rPr>
          <w:rFonts w:hint="eastAsia"/>
          <w:highlight w:val="none"/>
        </w:rPr>
        <w:t>建立专家库</w:t>
      </w:r>
      <w:r>
        <w:rPr>
          <w:rFonts w:hint="eastAsia"/>
          <w:highlight w:val="none"/>
          <w:lang w:eastAsia="zh-CN"/>
        </w:rPr>
        <w:t>，从行政管理部门、司法机关</w:t>
      </w:r>
      <w:r>
        <w:rPr>
          <w:rFonts w:hint="eastAsia"/>
          <w:highlight w:val="none"/>
          <w:lang w:val="en-US" w:eastAsia="zh-CN"/>
        </w:rPr>
        <w:t>等行业部门或</w:t>
      </w:r>
      <w:r>
        <w:rPr>
          <w:rFonts w:hint="eastAsia"/>
          <w:highlight w:val="none"/>
          <w:lang w:eastAsia="zh-CN"/>
        </w:rPr>
        <w:t>从</w:t>
      </w:r>
      <w:r>
        <w:rPr>
          <w:rFonts w:hint="eastAsia"/>
          <w:highlight w:val="none"/>
          <w:lang w:val="en-US" w:eastAsia="zh-CN"/>
        </w:rPr>
        <w:t>法官、</w:t>
      </w:r>
      <w:r>
        <w:rPr>
          <w:rFonts w:hint="eastAsia"/>
          <w:highlight w:val="none"/>
          <w:lang w:eastAsia="zh-CN"/>
        </w:rPr>
        <w:t>律师、公证员、仲裁员、心理咨询师等</w:t>
      </w:r>
      <w:r>
        <w:rPr>
          <w:rFonts w:hint="eastAsia"/>
          <w:highlight w:val="none"/>
          <w:lang w:val="en-US" w:eastAsia="zh-CN"/>
        </w:rPr>
        <w:t>专业人员</w:t>
      </w:r>
      <w:r>
        <w:rPr>
          <w:rFonts w:hint="eastAsia"/>
          <w:highlight w:val="none"/>
          <w:lang w:eastAsia="zh-CN"/>
        </w:rPr>
        <w:t>中选任，</w:t>
      </w:r>
      <w:r>
        <w:rPr>
          <w:rFonts w:hint="eastAsia"/>
          <w:highlight w:val="none"/>
          <w:lang w:val="en-US" w:eastAsia="zh-CN"/>
        </w:rPr>
        <w:t>为</w:t>
      </w:r>
      <w:r>
        <w:rPr>
          <w:rFonts w:hint="eastAsia"/>
          <w:highlight w:val="none"/>
          <w:lang w:eastAsia="zh-CN"/>
        </w:rPr>
        <w:t>矛盾纠纷</w:t>
      </w:r>
      <w:r>
        <w:rPr>
          <w:rFonts w:hint="eastAsia"/>
          <w:highlight w:val="none"/>
          <w:lang w:val="en-US" w:eastAsia="zh-CN"/>
        </w:rPr>
        <w:t>多元化解工作</w:t>
      </w:r>
      <w:r>
        <w:rPr>
          <w:rFonts w:hint="eastAsia"/>
          <w:highlight w:val="none"/>
          <w:lang w:eastAsia="zh-CN"/>
        </w:rPr>
        <w:t>提供</w:t>
      </w:r>
      <w:r>
        <w:rPr>
          <w:rFonts w:hint="eastAsia"/>
          <w:highlight w:val="none"/>
          <w:lang w:val="en-US" w:eastAsia="zh-CN"/>
        </w:rPr>
        <w:t>专业的</w:t>
      </w:r>
      <w:r>
        <w:rPr>
          <w:rFonts w:hint="eastAsia"/>
          <w:highlight w:val="none"/>
          <w:lang w:eastAsia="zh-CN"/>
        </w:rPr>
        <w:t>意见和建议。</w:t>
      </w:r>
    </w:p>
    <w:p w14:paraId="4E5608C4">
      <w:pPr>
        <w:pStyle w:val="106"/>
        <w:spacing w:before="156" w:after="156"/>
      </w:pPr>
      <w:r>
        <w:rPr>
          <w:rFonts w:hint="eastAsia"/>
        </w:rPr>
        <w:t>镇（街道）社会治理综合服务中心</w:t>
      </w:r>
    </w:p>
    <w:p w14:paraId="58366E4D">
      <w:pPr>
        <w:pStyle w:val="166"/>
        <w:rPr>
          <w:rFonts w:hAnsi="Calibri"/>
        </w:rPr>
      </w:pPr>
      <w:r>
        <w:rPr>
          <w:rFonts w:hint="eastAsia"/>
        </w:rPr>
        <w:t>成立功能型党组织，由镇（街道）党委书记、镇长挂帅，分管领导担任中心主任，政法委员</w:t>
      </w:r>
      <w:r>
        <w:rPr>
          <w:rFonts w:hint="eastAsia"/>
          <w:lang w:val="en-US" w:eastAsia="zh-CN"/>
        </w:rPr>
        <w:t>担任常务副主任，</w:t>
      </w:r>
      <w:r>
        <w:rPr>
          <w:rFonts w:hint="eastAsia"/>
        </w:rPr>
        <w:t>派出所所长、司法所所长担任副主任。</w:t>
      </w:r>
      <w:r>
        <w:rPr>
          <w:rFonts w:hint="eastAsia"/>
          <w:lang w:val="en-US" w:eastAsia="zh-CN"/>
        </w:rPr>
        <w:t>主任、副主任同时为党组织成员。</w:t>
      </w:r>
    </w:p>
    <w:p w14:paraId="69829F75">
      <w:pPr>
        <w:pStyle w:val="166"/>
      </w:pPr>
      <w:r>
        <w:rPr>
          <w:rFonts w:hint="eastAsia"/>
        </w:rPr>
        <w:t>镇（街道）社会治理综合服务中心可以依托司法所、派出所或镇域社会治理现代化指挥中心（网格化服务管理中心）建设。</w:t>
      </w:r>
    </w:p>
    <w:p w14:paraId="212C2950">
      <w:pPr>
        <w:pStyle w:val="166"/>
      </w:pPr>
      <w:r>
        <w:rPr>
          <w:rFonts w:hint="eastAsia"/>
        </w:rPr>
        <w:t>有条件的镇（街道）建立独立的工作机构，并配备不少于5名行政或事业编制工作人员。</w:t>
      </w:r>
    </w:p>
    <w:p w14:paraId="37621519">
      <w:pPr>
        <w:pStyle w:val="166"/>
        <w:rPr>
          <w:highlight w:val="none"/>
        </w:rPr>
      </w:pPr>
      <w:r>
        <w:rPr>
          <w:rFonts w:hint="eastAsia"/>
        </w:rPr>
        <w:t>镇（街道）社会治理综合服务中心根据辖区人口、地域等情况配备</w:t>
      </w:r>
      <w:r>
        <w:rPr>
          <w:rFonts w:hint="eastAsia"/>
          <w:highlight w:val="none"/>
          <w:lang w:val="en-US" w:eastAsia="zh-CN"/>
        </w:rPr>
        <w:t>4</w:t>
      </w:r>
      <w:r>
        <w:rPr>
          <w:rFonts w:hint="eastAsia"/>
          <w:highlight w:val="none"/>
        </w:rPr>
        <w:t>名专职调解员，</w:t>
      </w:r>
      <w:r>
        <w:rPr>
          <w:rFonts w:hint="eastAsia" w:eastAsia="宋体"/>
          <w:sz w:val="21"/>
          <w:highlight w:val="none"/>
          <w:lang w:val="en-US" w:eastAsia="zh-CN"/>
        </w:rPr>
        <w:t>若乡镇体量较小</w:t>
      </w:r>
      <w:r>
        <w:rPr>
          <w:rFonts w:hint="eastAsia"/>
          <w:sz w:val="21"/>
          <w:highlight w:val="none"/>
          <w:lang w:val="en-US" w:eastAsia="zh-CN"/>
        </w:rPr>
        <w:t>，可</w:t>
      </w:r>
      <w:r>
        <w:rPr>
          <w:rFonts w:hint="eastAsia" w:eastAsia="宋体"/>
          <w:sz w:val="21"/>
          <w:highlight w:val="none"/>
          <w:lang w:val="en-US" w:eastAsia="zh-CN"/>
        </w:rPr>
        <w:t>作适当调整</w:t>
      </w:r>
      <w:r>
        <w:rPr>
          <w:rFonts w:hint="eastAsia"/>
          <w:sz w:val="21"/>
          <w:highlight w:val="none"/>
          <w:lang w:val="en-US" w:eastAsia="zh-CN"/>
        </w:rPr>
        <w:t>。</w:t>
      </w:r>
      <w:r>
        <w:rPr>
          <w:rFonts w:hint="eastAsia"/>
          <w:highlight w:val="none"/>
        </w:rPr>
        <w:t>根据工作需要配备若干名兼职调解员。</w:t>
      </w:r>
    </w:p>
    <w:p w14:paraId="27D21D29">
      <w:pPr>
        <w:pStyle w:val="166"/>
        <w:rPr>
          <w:highlight w:val="none"/>
        </w:rPr>
      </w:pPr>
      <w:r>
        <w:rPr>
          <w:rFonts w:hint="eastAsia"/>
          <w:highlight w:val="none"/>
          <w:lang w:val="en-US" w:eastAsia="zh-CN"/>
        </w:rPr>
        <w:t>配套建立</w:t>
      </w:r>
      <w:r>
        <w:rPr>
          <w:rFonts w:hint="eastAsia"/>
          <w:highlight w:val="none"/>
        </w:rPr>
        <w:t>专家库</w:t>
      </w:r>
      <w:r>
        <w:rPr>
          <w:rFonts w:hint="eastAsia"/>
          <w:highlight w:val="none"/>
          <w:lang w:eastAsia="zh-CN"/>
        </w:rPr>
        <w:t>，</w:t>
      </w:r>
      <w:r>
        <w:rPr>
          <w:rFonts w:hint="eastAsia"/>
          <w:highlight w:val="none"/>
        </w:rPr>
        <w:t>为</w:t>
      </w:r>
      <w:r>
        <w:rPr>
          <w:rFonts w:hint="eastAsia"/>
          <w:highlight w:val="none"/>
          <w:lang w:val="en-US" w:eastAsia="zh-CN"/>
        </w:rPr>
        <w:t>辖区内</w:t>
      </w:r>
      <w:r>
        <w:rPr>
          <w:rFonts w:hint="eastAsia"/>
          <w:highlight w:val="none"/>
        </w:rPr>
        <w:t>重大、疑难、复杂矛盾纠纷提供法律、政策和专业支持</w:t>
      </w:r>
      <w:r>
        <w:rPr>
          <w:rFonts w:hint="eastAsia"/>
          <w:highlight w:val="none"/>
          <w:lang w:eastAsia="zh-CN"/>
        </w:rPr>
        <w:t>。</w:t>
      </w:r>
    </w:p>
    <w:p w14:paraId="060BEE95">
      <w:pPr>
        <w:pStyle w:val="106"/>
        <w:spacing w:before="156" w:after="156"/>
        <w:rPr>
          <w:highlight w:val="none"/>
        </w:rPr>
      </w:pPr>
      <w:r>
        <w:rPr>
          <w:rFonts w:hint="eastAsia"/>
          <w:highlight w:val="none"/>
        </w:rPr>
        <w:t>村（社区）综治中心</w:t>
      </w:r>
    </w:p>
    <w:p w14:paraId="74DBD0B7">
      <w:pPr>
        <w:pStyle w:val="166"/>
        <w:rPr>
          <w:rFonts w:hAnsi="Calibri"/>
        </w:rPr>
      </w:pPr>
      <w:r>
        <w:rPr>
          <w:rFonts w:hint="eastAsia"/>
        </w:rPr>
        <w:t xml:space="preserve">村（社区）综治中心依托党群服务中心建立，可与警务室、网格中心等一体化运行。 </w:t>
      </w:r>
    </w:p>
    <w:p w14:paraId="0D17FDF7">
      <w:pPr>
        <w:pStyle w:val="166"/>
      </w:pPr>
      <w:r>
        <w:rPr>
          <w:rFonts w:hint="eastAsia"/>
        </w:rPr>
        <w:t>有条件的村（社区）综治中心可配备专职工作人员。</w:t>
      </w:r>
    </w:p>
    <w:p w14:paraId="713A097D">
      <w:pPr>
        <w:pStyle w:val="166"/>
        <w:rPr>
          <w:highlight w:val="none"/>
        </w:rPr>
      </w:pPr>
      <w:r>
        <w:rPr>
          <w:rFonts w:hint="eastAsia"/>
          <w:highlight w:val="none"/>
        </w:rPr>
        <w:t>村（社区）综治中心应配备</w:t>
      </w:r>
      <w:r>
        <w:rPr>
          <w:rFonts w:hint="eastAsia"/>
          <w:highlight w:val="none"/>
          <w:lang w:val="en-US" w:eastAsia="zh-CN"/>
        </w:rPr>
        <w:t>2</w:t>
      </w:r>
      <w:r>
        <w:rPr>
          <w:rFonts w:hint="eastAsia"/>
          <w:highlight w:val="none"/>
        </w:rPr>
        <w:t>名专职调解员，可根据工作需要配备若干名兼职调解员。</w:t>
      </w:r>
    </w:p>
    <w:p w14:paraId="54B00895">
      <w:pPr>
        <w:pStyle w:val="166"/>
        <w:rPr>
          <w:highlight w:val="none"/>
        </w:rPr>
      </w:pPr>
      <w:r>
        <w:rPr>
          <w:rFonts w:hint="eastAsia"/>
          <w:highlight w:val="none"/>
          <w:lang w:val="en-US" w:eastAsia="zh-CN"/>
        </w:rPr>
        <w:t>设置专家联系点，建立县镇两级专家库的专家与村（社区）综治中心的对接联系机制。</w:t>
      </w:r>
    </w:p>
    <w:p w14:paraId="3425D202">
      <w:pPr>
        <w:pStyle w:val="105"/>
        <w:spacing w:before="312" w:after="312"/>
        <w:rPr>
          <w:highlight w:val="none"/>
        </w:rPr>
      </w:pPr>
      <w:bookmarkStart w:id="46" w:name="_Toc159507846"/>
      <w:r>
        <w:rPr>
          <w:rFonts w:hint="eastAsia"/>
          <w:highlight w:val="none"/>
        </w:rPr>
        <w:t>机构设置</w:t>
      </w:r>
      <w:bookmarkEnd w:id="46"/>
    </w:p>
    <w:p w14:paraId="560E7219">
      <w:pPr>
        <w:pStyle w:val="56"/>
        <w:ind w:firstLine="0" w:firstLineChars="0"/>
        <w:rPr>
          <w:rFonts w:ascii="黑体" w:hAnsi="Times New Roman" w:eastAsia="黑体"/>
        </w:rPr>
      </w:pPr>
      <w:r>
        <w:rPr>
          <w:rFonts w:hint="eastAsia"/>
        </w:rPr>
        <w:t>6.</w:t>
      </w:r>
      <w:r>
        <w:rPr>
          <w:rFonts w:hint="eastAsia"/>
          <w:lang w:val="en-US" w:eastAsia="zh-CN"/>
        </w:rPr>
        <w:t>1</w:t>
      </w:r>
      <w:r>
        <w:rPr>
          <w:rFonts w:hint="eastAsia"/>
        </w:rPr>
        <w:t xml:space="preserve"> </w:t>
      </w:r>
      <w:r>
        <w:rPr>
          <w:rFonts w:hint="eastAsia" w:ascii="黑体" w:hAnsi="Times New Roman" w:eastAsia="黑体"/>
        </w:rPr>
        <w:t>机构性质</w:t>
      </w:r>
    </w:p>
    <w:p w14:paraId="2A19BD4A">
      <w:pPr>
        <w:pStyle w:val="57"/>
        <w:ind w:firstLine="420"/>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县（市、区）社会治理综合服务中心</w:t>
      </w:r>
      <w:r>
        <w:rPr>
          <w:rFonts w:hint="eastAsia" w:cs="Times New Roman"/>
          <w:sz w:val="21"/>
          <w:highlight w:val="none"/>
          <w:lang w:val="en-US" w:eastAsia="zh-CN" w:bidi="ar-SA"/>
        </w:rPr>
        <w:t>可以按照</w:t>
      </w:r>
      <w:r>
        <w:rPr>
          <w:rFonts w:hint="eastAsia" w:ascii="宋体" w:hAnsi="Times New Roman" w:eastAsia="宋体" w:cs="Times New Roman"/>
          <w:sz w:val="21"/>
          <w:highlight w:val="none"/>
          <w:lang w:val="en-US" w:eastAsia="zh-CN" w:bidi="ar-SA"/>
        </w:rPr>
        <w:t>党委政府</w:t>
      </w:r>
      <w:r>
        <w:rPr>
          <w:rFonts w:hint="eastAsia" w:cs="Times New Roman"/>
          <w:sz w:val="21"/>
          <w:highlight w:val="none"/>
          <w:lang w:val="en-US" w:eastAsia="zh-CN" w:bidi="ar-SA"/>
        </w:rPr>
        <w:t>直属</w:t>
      </w:r>
      <w:r>
        <w:rPr>
          <w:rFonts w:hint="eastAsia" w:ascii="宋体" w:hAnsi="Times New Roman" w:eastAsia="宋体" w:cs="Times New Roman"/>
          <w:sz w:val="21"/>
          <w:highlight w:val="none"/>
          <w:lang w:val="en-US" w:eastAsia="zh-CN" w:bidi="ar-SA"/>
        </w:rPr>
        <w:t>正科级事业单位（参公）</w:t>
      </w:r>
      <w:r>
        <w:rPr>
          <w:rFonts w:hint="eastAsia" w:cs="Times New Roman"/>
          <w:sz w:val="21"/>
          <w:highlight w:val="none"/>
          <w:lang w:val="en-US" w:eastAsia="zh-CN" w:bidi="ar-SA"/>
        </w:rPr>
        <w:t>设置</w:t>
      </w:r>
      <w:r>
        <w:rPr>
          <w:rFonts w:hint="eastAsia" w:ascii="宋体" w:hAnsi="Times New Roman" w:eastAsia="宋体" w:cs="Times New Roman"/>
          <w:sz w:val="21"/>
          <w:highlight w:val="none"/>
          <w:lang w:val="en-US" w:eastAsia="zh-CN" w:bidi="ar-SA"/>
        </w:rPr>
        <w:t>，由政法委管理；镇（街道）社会治理综合服务中心</w:t>
      </w:r>
      <w:r>
        <w:rPr>
          <w:rFonts w:hint="eastAsia" w:cs="Times New Roman"/>
          <w:sz w:val="21"/>
          <w:highlight w:val="none"/>
          <w:lang w:val="en-US" w:eastAsia="zh-CN" w:bidi="ar-SA"/>
        </w:rPr>
        <w:t>可以设置为</w:t>
      </w:r>
      <w:r>
        <w:rPr>
          <w:rFonts w:hint="eastAsia" w:ascii="宋体" w:hAnsi="Times New Roman" w:eastAsia="宋体" w:cs="Times New Roman"/>
          <w:sz w:val="21"/>
          <w:highlight w:val="none"/>
          <w:lang w:val="en-US" w:eastAsia="zh-CN" w:bidi="ar-SA"/>
        </w:rPr>
        <w:t>乡镇下设副科级事业单位，由镇（街道）党委管理。</w:t>
      </w:r>
    </w:p>
    <w:p w14:paraId="08745747">
      <w:pPr>
        <w:pStyle w:val="57"/>
        <w:ind w:firstLine="0" w:firstLineChars="0"/>
        <w:rPr>
          <w:rFonts w:hint="eastAsia" w:ascii="黑体" w:eastAsia="黑体"/>
          <w:highlight w:val="none"/>
          <w:lang w:val="en-US" w:eastAsia="zh-CN"/>
        </w:rPr>
      </w:pPr>
      <w:r>
        <w:rPr>
          <w:rFonts w:hint="eastAsia" w:ascii="Calibri" w:hAnsi="Calibri"/>
          <w:szCs w:val="21"/>
          <w:highlight w:val="none"/>
        </w:rPr>
        <w:t>6.</w:t>
      </w:r>
      <w:r>
        <w:rPr>
          <w:rFonts w:hint="eastAsia" w:ascii="Calibri" w:hAnsi="Calibri"/>
          <w:szCs w:val="21"/>
          <w:highlight w:val="none"/>
          <w:lang w:val="en-US" w:eastAsia="zh-CN"/>
        </w:rPr>
        <w:t xml:space="preserve">2 </w:t>
      </w:r>
      <w:r>
        <w:rPr>
          <w:rFonts w:hint="eastAsia" w:ascii="黑体" w:eastAsia="黑体"/>
          <w:highlight w:val="none"/>
          <w:lang w:val="en-US" w:eastAsia="zh-CN"/>
        </w:rPr>
        <w:t>功能定位</w:t>
      </w:r>
    </w:p>
    <w:p w14:paraId="265A1AF4">
      <w:pPr>
        <w:pStyle w:val="57"/>
        <w:ind w:firstLine="420"/>
        <w:rPr>
          <w:rFonts w:hint="default" w:ascii="黑体" w:eastAsia="黑体"/>
          <w:highlight w:val="none"/>
          <w:lang w:val="en-US" w:eastAsia="zh-CN"/>
        </w:rPr>
      </w:pPr>
      <w:r>
        <w:rPr>
          <w:rFonts w:hint="eastAsia"/>
          <w:highlight w:val="none"/>
          <w:lang w:val="en-US" w:eastAsia="zh-CN"/>
        </w:rPr>
        <w:t>除</w:t>
      </w:r>
      <w:r>
        <w:rPr>
          <w:rFonts w:hint="eastAsia"/>
          <w:highlight w:val="none"/>
        </w:rPr>
        <w:t>符合GB/T 33200-2016中第5章的要求</w:t>
      </w:r>
      <w:r>
        <w:rPr>
          <w:rFonts w:hint="eastAsia"/>
          <w:highlight w:val="none"/>
          <w:lang w:val="en-US" w:eastAsia="zh-CN"/>
        </w:rPr>
        <w:t>以外，还需要包括以下功能：</w:t>
      </w:r>
    </w:p>
    <w:p w14:paraId="63B8423A">
      <w:pPr>
        <w:pStyle w:val="166"/>
        <w:numPr>
          <w:ilvl w:val="3"/>
          <w:numId w:val="0"/>
        </w:numPr>
        <w:rPr>
          <w:highlight w:val="none"/>
        </w:rPr>
      </w:pPr>
      <w:r>
        <w:rPr>
          <w:rFonts w:hint="eastAsia"/>
          <w:highlight w:val="none"/>
        </w:rPr>
        <w:t>6.</w:t>
      </w:r>
      <w:r>
        <w:rPr>
          <w:rFonts w:hint="eastAsia"/>
          <w:highlight w:val="none"/>
          <w:lang w:val="en-US" w:eastAsia="zh-CN"/>
        </w:rPr>
        <w:t>2</w:t>
      </w:r>
      <w:r>
        <w:rPr>
          <w:rFonts w:hint="eastAsia"/>
          <w:highlight w:val="none"/>
        </w:rPr>
        <w:t>.1   县（市、区）社会治理综合服务中心：</w:t>
      </w:r>
    </w:p>
    <w:p w14:paraId="657C6E0D">
      <w:pPr>
        <w:pStyle w:val="175"/>
        <w:rPr>
          <w:highlight w:val="none"/>
        </w:rPr>
      </w:pPr>
      <w:r>
        <w:rPr>
          <w:rFonts w:hint="eastAsia"/>
          <w:highlight w:val="none"/>
        </w:rPr>
        <w:t>研究指导县（市、区）矛盾纠纷多元化解机制建设，推进三级社会治理综合服务体系（“一站式”矛盾纠纷多元化解平台）和专业化矛盾纠纷调处机制建设，对镇村两级中心建设和运行进行检查督导、考核评估；</w:t>
      </w:r>
    </w:p>
    <w:p w14:paraId="2D7CAAF9">
      <w:pPr>
        <w:pStyle w:val="175"/>
        <w:rPr>
          <w:highlight w:val="none"/>
        </w:rPr>
      </w:pPr>
      <w:r>
        <w:rPr>
          <w:rFonts w:hint="eastAsia"/>
          <w:highlight w:val="none"/>
        </w:rPr>
        <w:t>有效管理和运行县（市、区）社会治理综合服务中心（“一站式”矛盾纠纷多元化解平台），接待群众来访，</w:t>
      </w:r>
      <w:r>
        <w:rPr>
          <w:rFonts w:hint="eastAsia"/>
          <w:highlight w:val="none"/>
          <w:lang w:val="en-US" w:eastAsia="zh-CN"/>
        </w:rPr>
        <w:t>提供法律咨询，</w:t>
      </w:r>
      <w:r>
        <w:rPr>
          <w:rFonts w:hint="eastAsia"/>
          <w:highlight w:val="none"/>
        </w:rPr>
        <w:t>做好矛盾纠纷受理、分流和处置工作；</w:t>
      </w:r>
    </w:p>
    <w:p w14:paraId="4E18FD35">
      <w:pPr>
        <w:pStyle w:val="175"/>
        <w:rPr>
          <w:highlight w:val="none"/>
        </w:rPr>
      </w:pPr>
      <w:r>
        <w:rPr>
          <w:rFonts w:hint="eastAsia"/>
          <w:highlight w:val="none"/>
          <w:lang w:val="en-US" w:eastAsia="zh-CN"/>
        </w:rPr>
        <w:t>会同司法行政部门做好</w:t>
      </w:r>
      <w:r>
        <w:rPr>
          <w:rFonts w:hint="eastAsia"/>
          <w:highlight w:val="none"/>
        </w:rPr>
        <w:t>县（市、区）专兼职调解员管理、培训、考核等工作，指导督促各级调解组织加强调解员聘用管理</w:t>
      </w:r>
      <w:r>
        <w:rPr>
          <w:rFonts w:hint="eastAsia"/>
          <w:highlight w:val="none"/>
          <w:lang w:eastAsia="zh-CN"/>
        </w:rPr>
        <w:t>。</w:t>
      </w:r>
    </w:p>
    <w:p w14:paraId="3CACF9CF">
      <w:pPr>
        <w:pStyle w:val="175"/>
        <w:numPr>
          <w:ilvl w:val="0"/>
          <w:numId w:val="0"/>
        </w:numPr>
        <w:rPr>
          <w:highlight w:val="none"/>
        </w:rPr>
      </w:pPr>
      <w:r>
        <w:rPr>
          <w:rFonts w:hint="eastAsia"/>
          <w:highlight w:val="none"/>
        </w:rPr>
        <w:t>6.</w:t>
      </w:r>
      <w:r>
        <w:rPr>
          <w:rFonts w:hint="eastAsia"/>
          <w:highlight w:val="none"/>
          <w:lang w:val="en-US" w:eastAsia="zh-CN"/>
        </w:rPr>
        <w:t>2</w:t>
      </w:r>
      <w:r>
        <w:rPr>
          <w:rFonts w:hint="eastAsia"/>
          <w:highlight w:val="none"/>
        </w:rPr>
        <w:t>.2   镇（街道）社会治理综合服务中心：</w:t>
      </w:r>
    </w:p>
    <w:p w14:paraId="4B27EC12">
      <w:pPr>
        <w:pStyle w:val="175"/>
        <w:numPr>
          <w:ilvl w:val="0"/>
          <w:numId w:val="32"/>
        </w:numPr>
        <w:rPr>
          <w:highlight w:val="none"/>
        </w:rPr>
      </w:pPr>
      <w:r>
        <w:rPr>
          <w:rFonts w:hint="eastAsia"/>
          <w:highlight w:val="none"/>
        </w:rPr>
        <w:t>指导内设机构、各村（社区）综治中心和辖区内各类社会组织的矛盾纠纷排查化解工作；</w:t>
      </w:r>
    </w:p>
    <w:p w14:paraId="0E471BF8">
      <w:pPr>
        <w:pStyle w:val="175"/>
        <w:rPr>
          <w:highlight w:val="none"/>
        </w:rPr>
      </w:pPr>
      <w:r>
        <w:rPr>
          <w:rFonts w:hint="eastAsia"/>
          <w:highlight w:val="none"/>
        </w:rPr>
        <w:t>对专（兼）职调解员和岗位工作人员进行日常管理、综合协调和考核考评；</w:t>
      </w:r>
    </w:p>
    <w:p w14:paraId="144C2123">
      <w:pPr>
        <w:pStyle w:val="175"/>
        <w:rPr>
          <w:highlight w:val="none"/>
        </w:rPr>
      </w:pPr>
      <w:r>
        <w:rPr>
          <w:rFonts w:hint="eastAsia"/>
          <w:highlight w:val="none"/>
        </w:rPr>
        <w:t>接待群众来电来信来访，提供法律咨询，做好矛盾纠纷受理和分流处置工作；</w:t>
      </w:r>
    </w:p>
    <w:p w14:paraId="218EF9A4">
      <w:pPr>
        <w:pStyle w:val="175"/>
        <w:rPr>
          <w:highlight w:val="none"/>
        </w:rPr>
      </w:pPr>
      <w:r>
        <w:rPr>
          <w:rFonts w:hint="eastAsia"/>
          <w:highlight w:val="none"/>
        </w:rPr>
        <w:t>负责辖区内矛盾纠纷风险研判、动态监测、数据分析、信息流转、协调处置、跟踪督办</w:t>
      </w:r>
      <w:r>
        <w:rPr>
          <w:rFonts w:hint="eastAsia"/>
          <w:highlight w:val="none"/>
          <w:lang w:eastAsia="zh-CN"/>
        </w:rPr>
        <w:t>。</w:t>
      </w:r>
    </w:p>
    <w:p w14:paraId="5FA3ED07">
      <w:pPr>
        <w:pStyle w:val="175"/>
        <w:numPr>
          <w:ilvl w:val="0"/>
          <w:numId w:val="0"/>
        </w:numPr>
        <w:rPr>
          <w:highlight w:val="none"/>
        </w:rPr>
      </w:pPr>
      <w:r>
        <w:rPr>
          <w:rFonts w:hint="eastAsia"/>
          <w:highlight w:val="none"/>
        </w:rPr>
        <w:t>6.</w:t>
      </w:r>
      <w:r>
        <w:rPr>
          <w:rFonts w:hint="eastAsia"/>
          <w:highlight w:val="none"/>
          <w:lang w:val="en-US" w:eastAsia="zh-CN"/>
        </w:rPr>
        <w:t>2</w:t>
      </w:r>
      <w:r>
        <w:rPr>
          <w:rFonts w:hint="eastAsia"/>
          <w:highlight w:val="none"/>
        </w:rPr>
        <w:t>.3   村（社区）综治中心：</w:t>
      </w:r>
    </w:p>
    <w:p w14:paraId="760FFB9B">
      <w:pPr>
        <w:pStyle w:val="175"/>
        <w:numPr>
          <w:ilvl w:val="0"/>
          <w:numId w:val="33"/>
        </w:numPr>
        <w:rPr>
          <w:highlight w:val="none"/>
        </w:rPr>
      </w:pPr>
      <w:r>
        <w:rPr>
          <w:rFonts w:hint="eastAsia"/>
          <w:highlight w:val="none"/>
        </w:rPr>
        <w:t>负责辖区内矛盾纠纷风险隐患分析研判、数据统计、重大矛盾上报等工作；</w:t>
      </w:r>
    </w:p>
    <w:p w14:paraId="2A627BBA">
      <w:pPr>
        <w:pStyle w:val="175"/>
        <w:rPr>
          <w:highlight w:val="none"/>
        </w:rPr>
      </w:pPr>
      <w:r>
        <w:rPr>
          <w:rFonts w:hint="eastAsia"/>
          <w:highlight w:val="none"/>
        </w:rPr>
        <w:t>解答群众法律咨询，引导群众依法理性表达合理诉求，帮助困难群众申请法律援助。</w:t>
      </w:r>
    </w:p>
    <w:p w14:paraId="7ED8EEDD">
      <w:pPr>
        <w:pStyle w:val="106"/>
        <w:numPr>
          <w:ilvl w:val="2"/>
          <w:numId w:val="0"/>
        </w:numPr>
        <w:spacing w:before="156" w:after="156"/>
        <w:rPr>
          <w:highlight w:val="none"/>
        </w:rPr>
      </w:pPr>
      <w:r>
        <w:rPr>
          <w:rFonts w:hint="eastAsia" w:ascii="Calibri" w:hAnsi="Calibri" w:eastAsia="宋体"/>
          <w:szCs w:val="21"/>
          <w:highlight w:val="none"/>
        </w:rPr>
        <w:t>6.</w:t>
      </w:r>
      <w:r>
        <w:rPr>
          <w:rFonts w:hint="eastAsia" w:ascii="Calibri" w:hAnsi="Calibri" w:eastAsia="宋体"/>
          <w:szCs w:val="21"/>
          <w:highlight w:val="none"/>
          <w:lang w:val="en-US" w:eastAsia="zh-CN"/>
        </w:rPr>
        <w:t xml:space="preserve">3 </w:t>
      </w:r>
      <w:r>
        <w:rPr>
          <w:rFonts w:hint="eastAsia"/>
          <w:highlight w:val="none"/>
        </w:rPr>
        <w:t xml:space="preserve">进驻机构 </w:t>
      </w:r>
    </w:p>
    <w:p w14:paraId="138F8F49">
      <w:pPr>
        <w:pStyle w:val="166"/>
        <w:numPr>
          <w:ilvl w:val="3"/>
          <w:numId w:val="0"/>
        </w:numPr>
        <w:rPr>
          <w:rFonts w:hAnsi="Calibri"/>
        </w:rPr>
      </w:pPr>
      <w:r>
        <w:rPr>
          <w:rFonts w:hint="eastAsia"/>
        </w:rPr>
        <w:t>6.</w:t>
      </w:r>
      <w:r>
        <w:rPr>
          <w:rFonts w:hint="eastAsia"/>
          <w:lang w:val="en-US" w:eastAsia="zh-CN"/>
        </w:rPr>
        <w:t>3</w:t>
      </w:r>
      <w:r>
        <w:rPr>
          <w:rFonts w:hint="eastAsia"/>
        </w:rPr>
        <w:t xml:space="preserve">.1   县（市、区）社会治理综合服务中心采取整建制进驻、专业式进驻、协同式进驻、共建式进驻4种形式组织力量开展综合服务。四种进驻形式的做法如下： </w:t>
      </w:r>
    </w:p>
    <w:p w14:paraId="4B1FF66E">
      <w:pPr>
        <w:pStyle w:val="175"/>
        <w:numPr>
          <w:ilvl w:val="0"/>
          <w:numId w:val="34"/>
        </w:numPr>
        <w:rPr>
          <w:highlight w:val="none"/>
        </w:rPr>
      </w:pPr>
      <w:r>
        <w:rPr>
          <w:rFonts w:hint="eastAsia"/>
        </w:rPr>
        <w:t>整建制进驻。法院诉讼服务</w:t>
      </w:r>
      <w:r>
        <w:rPr>
          <w:rFonts w:hint="eastAsia"/>
          <w:highlight w:val="none"/>
        </w:rPr>
        <w:t>中心、矛盾纠纷调处中心、人民来访接待中心、公共法律服务中心、法律援助中心、公证处、</w:t>
      </w:r>
      <w:r>
        <w:rPr>
          <w:rFonts w:hint="eastAsia"/>
          <w:highlight w:val="none"/>
          <w:lang w:val="en-US" w:eastAsia="zh-CN"/>
        </w:rPr>
        <w:t>市仲裁委员会县级分支机构、</w:t>
      </w:r>
      <w:r>
        <w:rPr>
          <w:rFonts w:hint="eastAsia"/>
          <w:highlight w:val="none"/>
        </w:rPr>
        <w:t xml:space="preserve">行政复议办案中心（行政争议调处中心）、区域社会治理现代化指挥中心、网格化服务管理中心、12345政府公共服务中心等线下线上工作平台。 </w:t>
      </w:r>
    </w:p>
    <w:p w14:paraId="602D5F3A">
      <w:pPr>
        <w:pStyle w:val="175"/>
        <w:rPr>
          <w:highlight w:val="none"/>
        </w:rPr>
      </w:pPr>
      <w:r>
        <w:rPr>
          <w:rFonts w:hint="eastAsia"/>
          <w:highlight w:val="none"/>
        </w:rPr>
        <w:t xml:space="preserve">专业式进驻。从便于人员整合、信息化辅助、综合研判的角度考虑，发改、住建、卫生健康、自然资源、农业农村等部门专业调处工作站进驻中心开展工作。 </w:t>
      </w:r>
    </w:p>
    <w:p w14:paraId="527D25F9">
      <w:pPr>
        <w:pStyle w:val="175"/>
        <w:rPr>
          <w:highlight w:val="none"/>
        </w:rPr>
      </w:pPr>
      <w:r>
        <w:rPr>
          <w:rFonts w:hint="eastAsia"/>
          <w:highlight w:val="none"/>
        </w:rPr>
        <w:t>协同式进驻。根据工作需要，由中心提议，经</w:t>
      </w:r>
      <w:r>
        <w:rPr>
          <w:rFonts w:hint="eastAsia"/>
          <w:highlight w:val="none"/>
          <w:lang w:val="en-US" w:eastAsia="zh-CN"/>
        </w:rPr>
        <w:t>县（市、区）</w:t>
      </w:r>
      <w:r>
        <w:rPr>
          <w:rFonts w:hint="eastAsia"/>
          <w:highlight w:val="none"/>
        </w:rPr>
        <w:t xml:space="preserve">委政法委审核同意后，相关部门派驻工作人员进驻中心开展工作，接待群众来访，协同处置矛盾。 </w:t>
      </w:r>
    </w:p>
    <w:p w14:paraId="1B690B9F">
      <w:pPr>
        <w:pStyle w:val="175"/>
        <w:rPr>
          <w:highlight w:val="none"/>
        </w:rPr>
      </w:pPr>
      <w:r>
        <w:rPr>
          <w:rFonts w:hint="eastAsia"/>
          <w:highlight w:val="none"/>
        </w:rPr>
        <w:t>共建式进驻。进驻中心开展社会治理工作的共建力量包括：</w:t>
      </w:r>
    </w:p>
    <w:p w14:paraId="65A34AC7">
      <w:pPr>
        <w:pStyle w:val="188"/>
        <w:rPr>
          <w:highlight w:val="none"/>
        </w:rPr>
      </w:pPr>
      <w:r>
        <w:rPr>
          <w:rFonts w:hint="eastAsia"/>
          <w:highlight w:val="none"/>
        </w:rPr>
        <w:t>党代表、人大代表、政协委员、政法部门退休干部、人民调解员、法律工作者、心理咨询师、社会组织工作者等人员；</w:t>
      </w:r>
    </w:p>
    <w:p w14:paraId="4147303F">
      <w:pPr>
        <w:pStyle w:val="188"/>
        <w:rPr>
          <w:highlight w:val="none"/>
        </w:rPr>
      </w:pPr>
      <w:r>
        <w:rPr>
          <w:rFonts w:hint="eastAsia"/>
          <w:highlight w:val="none"/>
        </w:rPr>
        <w:t xml:space="preserve">公证机构、保险机构、个人品牌调解工作室等部门。 </w:t>
      </w:r>
    </w:p>
    <w:p w14:paraId="39A7DF8A">
      <w:pPr>
        <w:pStyle w:val="166"/>
        <w:numPr>
          <w:ilvl w:val="3"/>
          <w:numId w:val="0"/>
        </w:numPr>
      </w:pPr>
      <w:r>
        <w:rPr>
          <w:rFonts w:hint="eastAsia"/>
          <w:highlight w:val="none"/>
        </w:rPr>
        <w:t>6.</w:t>
      </w:r>
      <w:r>
        <w:rPr>
          <w:rFonts w:hint="eastAsia"/>
          <w:highlight w:val="none"/>
          <w:lang w:val="en-US" w:eastAsia="zh-CN"/>
        </w:rPr>
        <w:t>3</w:t>
      </w:r>
      <w:r>
        <w:rPr>
          <w:rFonts w:hint="eastAsia"/>
          <w:highlight w:val="none"/>
        </w:rPr>
        <w:t>.2   镇（街道）社会治理综合服务中心根据本地实际和阶段式工作需要，司法、信访、矛盾纠纷调处、</w:t>
      </w:r>
      <w:r>
        <w:rPr>
          <w:rFonts w:hint="eastAsia"/>
          <w:highlight w:val="none"/>
          <w:lang w:val="en-US" w:eastAsia="zh-CN"/>
        </w:rPr>
        <w:t>网格化服务管理、镇域现代化社会治理指挥联动、</w:t>
      </w:r>
      <w:r>
        <w:rPr>
          <w:rFonts w:hint="eastAsia"/>
          <w:highlight w:val="none"/>
        </w:rPr>
        <w:t>劳动保障以</w:t>
      </w:r>
      <w:r>
        <w:rPr>
          <w:rFonts w:hint="eastAsia"/>
        </w:rPr>
        <w:t xml:space="preserve">及矛盾多发领域的相关部门集中进驻中心开展工作。 </w:t>
      </w:r>
    </w:p>
    <w:p w14:paraId="09E32FBD">
      <w:pPr>
        <w:pStyle w:val="166"/>
        <w:numPr>
          <w:ilvl w:val="3"/>
          <w:numId w:val="0"/>
        </w:numPr>
      </w:pPr>
      <w:r>
        <w:rPr>
          <w:rFonts w:hint="eastAsia"/>
        </w:rPr>
        <w:t>6.</w:t>
      </w:r>
      <w:r>
        <w:rPr>
          <w:rFonts w:hint="eastAsia"/>
          <w:lang w:val="en-US" w:eastAsia="zh-CN"/>
        </w:rPr>
        <w:t>3</w:t>
      </w:r>
      <w:r>
        <w:rPr>
          <w:rFonts w:hint="eastAsia"/>
        </w:rPr>
        <w:t>.3   村（社区）综治中心在村（社区）党组织领导下，统筹调度各相关力量，开展矛盾纠纷排查化解。</w:t>
      </w:r>
    </w:p>
    <w:p w14:paraId="5DD1331F">
      <w:pPr>
        <w:pStyle w:val="106"/>
        <w:numPr>
          <w:ilvl w:val="2"/>
          <w:numId w:val="0"/>
        </w:numPr>
        <w:spacing w:before="156" w:after="156"/>
        <w:rPr>
          <w:rFonts w:hint="eastAsia" w:eastAsia="黑体"/>
          <w:highlight w:val="none"/>
          <w:lang w:val="en-US" w:eastAsia="zh-CN"/>
        </w:rPr>
      </w:pPr>
      <w:r>
        <w:rPr>
          <w:rFonts w:hint="eastAsia"/>
          <w:highlight w:val="none"/>
        </w:rPr>
        <w:t>6.</w:t>
      </w:r>
      <w:r>
        <w:rPr>
          <w:rFonts w:hint="eastAsia"/>
          <w:highlight w:val="none"/>
          <w:lang w:val="en-US" w:eastAsia="zh-CN"/>
        </w:rPr>
        <w:t>4</w:t>
      </w:r>
      <w:r>
        <w:rPr>
          <w:rFonts w:hint="eastAsia"/>
          <w:highlight w:val="none"/>
        </w:rPr>
        <w:t xml:space="preserve">  人员</w:t>
      </w:r>
      <w:r>
        <w:rPr>
          <w:rFonts w:hint="eastAsia"/>
          <w:highlight w:val="none"/>
          <w:lang w:val="en-US" w:eastAsia="zh-CN"/>
        </w:rPr>
        <w:t>要求</w:t>
      </w:r>
    </w:p>
    <w:p w14:paraId="7D3DB3AA">
      <w:pPr>
        <w:pStyle w:val="106"/>
        <w:numPr>
          <w:ilvl w:val="2"/>
          <w:numId w:val="0"/>
        </w:numPr>
        <w:spacing w:before="156" w:after="156"/>
        <w:rPr>
          <w:rFonts w:hint="eastAsia"/>
          <w:highlight w:val="none"/>
          <w:lang w:val="en-US" w:eastAsia="zh-CN"/>
        </w:rPr>
      </w:pPr>
      <w:r>
        <w:rPr>
          <w:rFonts w:hint="eastAsia"/>
          <w:highlight w:val="none"/>
        </w:rPr>
        <w:t>6.</w:t>
      </w:r>
      <w:r>
        <w:rPr>
          <w:rFonts w:hint="eastAsia"/>
          <w:highlight w:val="none"/>
          <w:lang w:val="en-US" w:eastAsia="zh-CN"/>
        </w:rPr>
        <w:t>4</w:t>
      </w:r>
      <w:r>
        <w:rPr>
          <w:rFonts w:hint="eastAsia"/>
          <w:highlight w:val="none"/>
        </w:rPr>
        <w:t xml:space="preserve">.1 </w:t>
      </w:r>
      <w:r>
        <w:rPr>
          <w:rFonts w:hint="eastAsia"/>
          <w:highlight w:val="none"/>
          <w:lang w:val="en-US" w:eastAsia="zh-CN"/>
        </w:rPr>
        <w:t>工作人员</w:t>
      </w:r>
    </w:p>
    <w:p w14:paraId="124CB174">
      <w:pPr>
        <w:pStyle w:val="57"/>
        <w:ind w:left="0" w:leftChars="0" w:firstLine="0" w:firstLineChars="0"/>
        <w:rPr>
          <w:rFonts w:hint="default"/>
          <w:highlight w:val="none"/>
          <w:lang w:val="en-US" w:eastAsia="zh-CN"/>
        </w:rPr>
      </w:pPr>
      <w:r>
        <w:rPr>
          <w:rFonts w:hint="eastAsia"/>
          <w:highlight w:val="none"/>
          <w:lang w:val="en-US" w:eastAsia="zh-CN"/>
        </w:rPr>
        <w:t>包括中心正式工作人员、部门进驻人员、专职调解员、兼职调解员和专家成员。各级中心应根据运行需要配备相应岗位能力的工作人员，除符合国家工作人员相关规定的要求外，还应符合下列要求：</w:t>
      </w:r>
    </w:p>
    <w:p w14:paraId="57539368">
      <w:pPr>
        <w:pStyle w:val="106"/>
        <w:numPr>
          <w:ilvl w:val="2"/>
          <w:numId w:val="0"/>
        </w:numPr>
        <w:spacing w:before="156" w:after="156"/>
        <w:rPr>
          <w:rFonts w:hint="default" w:eastAsia="黑体"/>
          <w:highlight w:val="none"/>
          <w:lang w:val="en-US" w:eastAsia="zh-CN"/>
        </w:rPr>
      </w:pPr>
      <w:r>
        <w:rPr>
          <w:rFonts w:hint="eastAsia"/>
          <w:highlight w:val="none"/>
          <w:lang w:val="en-US" w:eastAsia="zh-CN"/>
        </w:rPr>
        <w:t>6.4.2 专职调解员</w:t>
      </w:r>
    </w:p>
    <w:p w14:paraId="74483987">
      <w:pPr>
        <w:pStyle w:val="165"/>
        <w:numPr>
          <w:ilvl w:val="4"/>
          <w:numId w:val="0"/>
        </w:numPr>
        <w:rPr>
          <w:rFonts w:hint="default" w:hAnsi="Calibri" w:eastAsia="宋体"/>
          <w:highlight w:val="none"/>
          <w:lang w:val="en-US" w:eastAsia="zh-CN"/>
        </w:rPr>
      </w:pPr>
      <w:r>
        <w:rPr>
          <w:rFonts w:hint="eastAsia"/>
          <w:highlight w:val="none"/>
        </w:rPr>
        <w:t>年龄一般不超过65周岁</w:t>
      </w:r>
      <w:r>
        <w:rPr>
          <w:rFonts w:hint="eastAsia"/>
          <w:highlight w:val="none"/>
          <w:lang w:eastAsia="zh-CN"/>
        </w:rPr>
        <w:t>，</w:t>
      </w:r>
      <w:r>
        <w:rPr>
          <w:rFonts w:hint="eastAsia"/>
          <w:highlight w:val="none"/>
        </w:rPr>
        <w:t>一般应具有高中以上学历或相应的知识水平</w:t>
      </w:r>
      <w:r>
        <w:rPr>
          <w:rFonts w:hint="eastAsia"/>
          <w:highlight w:val="none"/>
          <w:lang w:eastAsia="zh-CN"/>
        </w:rPr>
        <w:t>，</w:t>
      </w:r>
      <w:r>
        <w:rPr>
          <w:rFonts w:hint="eastAsia"/>
          <w:highlight w:val="none"/>
        </w:rPr>
        <w:t>具备一定的法律、政策知识和相应的专业知识，具有较强的组织协调能力和丰富的群众工作经验</w:t>
      </w:r>
      <w:r>
        <w:rPr>
          <w:rFonts w:hint="eastAsia"/>
          <w:highlight w:val="none"/>
          <w:lang w:eastAsia="zh-CN"/>
        </w:rPr>
        <w:t>。</w:t>
      </w:r>
      <w:r>
        <w:rPr>
          <w:rFonts w:hint="eastAsia"/>
          <w:highlight w:val="none"/>
          <w:lang w:val="en-US" w:eastAsia="zh-CN"/>
        </w:rPr>
        <w:t>鼓励在退休法官、警官、司法干警等具有专业知识和丰富经验的人员中选聘。</w:t>
      </w:r>
    </w:p>
    <w:p w14:paraId="028225F0">
      <w:pPr>
        <w:pStyle w:val="66"/>
        <w:numPr>
          <w:ilvl w:val="3"/>
          <w:numId w:val="0"/>
        </w:numPr>
        <w:spacing w:before="156" w:after="156"/>
        <w:rPr>
          <w:rFonts w:hint="eastAsia"/>
          <w:highlight w:val="none"/>
          <w:lang w:val="en-US" w:eastAsia="zh-CN"/>
        </w:rPr>
      </w:pPr>
      <w:r>
        <w:rPr>
          <w:rFonts w:hint="eastAsia"/>
          <w:highlight w:val="none"/>
        </w:rPr>
        <w:t>6.</w:t>
      </w:r>
      <w:r>
        <w:rPr>
          <w:rFonts w:hint="eastAsia"/>
          <w:highlight w:val="none"/>
          <w:lang w:val="en-US" w:eastAsia="zh-CN"/>
        </w:rPr>
        <w:t>4</w:t>
      </w:r>
      <w:r>
        <w:rPr>
          <w:rFonts w:hint="eastAsia"/>
          <w:highlight w:val="none"/>
        </w:rPr>
        <w:t>.</w:t>
      </w:r>
      <w:r>
        <w:rPr>
          <w:rFonts w:hint="eastAsia"/>
          <w:highlight w:val="none"/>
          <w:lang w:val="en-US" w:eastAsia="zh-CN"/>
        </w:rPr>
        <w:t>3</w:t>
      </w:r>
      <w:r>
        <w:rPr>
          <w:rFonts w:hint="eastAsia"/>
          <w:highlight w:val="none"/>
        </w:rPr>
        <w:t xml:space="preserve"> </w:t>
      </w:r>
      <w:r>
        <w:rPr>
          <w:rFonts w:hint="eastAsia"/>
          <w:highlight w:val="none"/>
          <w:lang w:val="en-US" w:eastAsia="zh-CN"/>
        </w:rPr>
        <w:t>兼职调解员</w:t>
      </w:r>
    </w:p>
    <w:p w14:paraId="6B32CC63">
      <w:pPr>
        <w:pStyle w:val="66"/>
        <w:numPr>
          <w:ilvl w:val="3"/>
          <w:numId w:val="0"/>
        </w:numPr>
        <w:spacing w:before="156" w:after="156"/>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办事公道，熟悉社情民意，有较高群众威信，善于做群众工作，具有一定</w:t>
      </w:r>
      <w:r>
        <w:rPr>
          <w:rFonts w:hint="eastAsia" w:ascii="宋体" w:eastAsia="宋体" w:cs="Times New Roman"/>
          <w:sz w:val="21"/>
          <w:highlight w:val="none"/>
          <w:lang w:val="en-US" w:eastAsia="zh-CN" w:bidi="ar-SA"/>
        </w:rPr>
        <w:t>文化</w:t>
      </w:r>
      <w:r>
        <w:rPr>
          <w:rFonts w:hint="eastAsia" w:ascii="宋体" w:hAnsi="Times New Roman" w:eastAsia="宋体" w:cs="Times New Roman"/>
          <w:sz w:val="21"/>
          <w:highlight w:val="none"/>
          <w:lang w:val="en-US" w:eastAsia="zh-CN" w:bidi="ar-SA"/>
        </w:rPr>
        <w:t>水平和法律知识。</w:t>
      </w:r>
    </w:p>
    <w:p w14:paraId="6998DA83">
      <w:pPr>
        <w:pStyle w:val="66"/>
        <w:numPr>
          <w:ilvl w:val="3"/>
          <w:numId w:val="0"/>
        </w:numPr>
        <w:spacing w:before="156" w:after="156"/>
        <w:rPr>
          <w:rFonts w:hint="eastAsia"/>
          <w:highlight w:val="none"/>
        </w:rPr>
      </w:pPr>
      <w:r>
        <w:rPr>
          <w:rFonts w:hint="eastAsia"/>
          <w:highlight w:val="none"/>
          <w:lang w:val="en-US" w:eastAsia="zh-CN"/>
        </w:rPr>
        <w:t xml:space="preserve">6.4.4  专家成员 </w:t>
      </w:r>
      <w:r>
        <w:rPr>
          <w:rFonts w:hint="eastAsia"/>
          <w:highlight w:val="none"/>
        </w:rPr>
        <w:t xml:space="preserve"> </w:t>
      </w:r>
    </w:p>
    <w:p w14:paraId="62C8BB79">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jc w:val="both"/>
        <w:textAlignment w:val="auto"/>
        <w:rPr>
          <w:rFonts w:hint="default" w:ascii="宋体" w:hAnsi="Times New Roman" w:eastAsia="宋体" w:cs="Times New Roman"/>
          <w:spacing w:val="0"/>
          <w:sz w:val="21"/>
          <w:szCs w:val="20"/>
          <w:highlight w:val="none"/>
          <w:lang w:val="en-US" w:eastAsia="zh-CN" w:bidi="ar-SA"/>
        </w:rPr>
      </w:pPr>
      <w:r>
        <w:rPr>
          <w:rFonts w:hint="eastAsia" w:ascii="宋体" w:hAnsi="Times New Roman" w:eastAsia="宋体" w:cs="Times New Roman"/>
          <w:spacing w:val="0"/>
          <w:sz w:val="21"/>
          <w:szCs w:val="20"/>
          <w:highlight w:val="none"/>
          <w:lang w:val="en-US" w:eastAsia="zh-CN" w:bidi="ar-SA"/>
        </w:rPr>
        <w:t>具有良好的道德修养、职业操守和社会责任感；司法实践或法律服务工作经验丰富，有行业公信力，在相关领域具有较高的权威性和影响力。</w:t>
      </w:r>
    </w:p>
    <w:p w14:paraId="16BD6339">
      <w:pPr>
        <w:pStyle w:val="105"/>
        <w:spacing w:before="312" w:after="312"/>
      </w:pPr>
      <w:bookmarkStart w:id="47" w:name="_Toc159507847"/>
      <w:r>
        <w:rPr>
          <w:rFonts w:hint="eastAsia"/>
        </w:rPr>
        <w:t>场所设施</w:t>
      </w:r>
      <w:bookmarkEnd w:id="47"/>
    </w:p>
    <w:p w14:paraId="0892E4DC">
      <w:pPr>
        <w:pStyle w:val="106"/>
        <w:spacing w:before="156" w:after="156"/>
      </w:pPr>
      <w:r>
        <w:rPr>
          <w:rFonts w:hint="eastAsia"/>
        </w:rPr>
        <w:t>功能布局</w:t>
      </w:r>
    </w:p>
    <w:p w14:paraId="6C7FFD40">
      <w:pPr>
        <w:pStyle w:val="166"/>
        <w:rPr>
          <w:rFonts w:hAnsi="Calibri"/>
        </w:rPr>
      </w:pPr>
      <w:r>
        <w:rPr>
          <w:rFonts w:hint="eastAsia"/>
        </w:rPr>
        <w:t>县（市、区）社会治理综合服务中心按照“1+N”构成，具体指：一个“一站式”受理大厅，矛盾纠纷调处、诉讼服务、社区矫正、法律援助、公证服务、行政复议等N个功能区。</w:t>
      </w:r>
    </w:p>
    <w:p w14:paraId="1E05CE3B">
      <w:pPr>
        <w:pStyle w:val="166"/>
      </w:pPr>
      <w:r>
        <w:rPr>
          <w:rFonts w:hint="eastAsia"/>
        </w:rPr>
        <w:t>镇（街道）社会治理综合服务中心建有受理大厅、调解区、研判区、办公区，整合派出所、基层法庭（融和法庭）、司法所、镇域社会治理现代化指挥中心（网格化服务管理中心）、矛盾纠纷调处中心、人民来访接待中心、公共法律服务中心、社会心理服务中心等职能。</w:t>
      </w:r>
    </w:p>
    <w:p w14:paraId="7B549842">
      <w:pPr>
        <w:pStyle w:val="166"/>
      </w:pPr>
      <w:r>
        <w:rPr>
          <w:rFonts w:hint="eastAsia"/>
        </w:rPr>
        <w:t>村（社区）综治中心依托村（社区）党群服务中心建立，应当配备接待室（受理大厅）、调解室、办公室，相关功能室可与党群服务中心其它功能区共用。</w:t>
      </w:r>
    </w:p>
    <w:p w14:paraId="062A0E5D">
      <w:pPr>
        <w:pStyle w:val="106"/>
        <w:spacing w:before="156" w:after="156"/>
      </w:pPr>
      <w:r>
        <w:rPr>
          <w:rFonts w:hint="eastAsia"/>
        </w:rPr>
        <w:t>场所要求</w:t>
      </w:r>
    </w:p>
    <w:p w14:paraId="1DFA1A4B">
      <w:pPr>
        <w:pStyle w:val="166"/>
        <w:rPr>
          <w:rFonts w:hAnsi="Calibri"/>
        </w:rPr>
      </w:pPr>
      <w:r>
        <w:rPr>
          <w:rFonts w:hint="eastAsia"/>
        </w:rPr>
        <w:t>县（市、区）社会治理综合服务中心总面积</w:t>
      </w:r>
      <w:r>
        <w:rPr>
          <w:rFonts w:hint="eastAsia"/>
          <w:u w:val="none"/>
        </w:rPr>
        <w:t>一般</w:t>
      </w:r>
      <w:r>
        <w:rPr>
          <w:rFonts w:hint="eastAsia"/>
        </w:rPr>
        <w:t>不低于3000</w:t>
      </w:r>
      <w:r>
        <w:rPr>
          <w:rFonts w:hint="eastAsia" w:hAnsi="宋体" w:cs="宋体"/>
        </w:rPr>
        <w:t>㎡</w:t>
      </w:r>
      <w:r>
        <w:rPr>
          <w:rFonts w:hint="eastAsia" w:hAnsi="仿宋_GB2312" w:cs="仿宋_GB2312"/>
        </w:rPr>
        <w:t>；镇（街道）社会治理综合服务中心总面积</w:t>
      </w:r>
      <w:r>
        <w:rPr>
          <w:rFonts w:hint="eastAsia" w:hAnsi="仿宋_GB2312" w:cs="仿宋_GB2312"/>
          <w:u w:val="none"/>
        </w:rPr>
        <w:t>一般</w:t>
      </w:r>
      <w:r>
        <w:rPr>
          <w:rFonts w:hint="eastAsia" w:hAnsi="仿宋_GB2312" w:cs="仿宋_GB2312"/>
        </w:rPr>
        <w:t>不低于</w:t>
      </w:r>
      <w:r>
        <w:rPr>
          <w:rFonts w:hint="eastAsia"/>
        </w:rPr>
        <w:t>500</w:t>
      </w:r>
      <w:r>
        <w:rPr>
          <w:rFonts w:hint="eastAsia" w:hAnsi="宋体" w:cs="宋体"/>
        </w:rPr>
        <w:t>㎡</w:t>
      </w:r>
      <w:r>
        <w:rPr>
          <w:rFonts w:hint="eastAsia" w:hAnsi="仿宋_GB2312" w:cs="仿宋_GB2312"/>
        </w:rPr>
        <w:t>，充分利用基层治理中已有的综治、信访、司法、职能站所等现有资源运行；村（社区）综治中心参照</w:t>
      </w:r>
      <w:r>
        <w:rPr>
          <w:rFonts w:hint="eastAsia"/>
        </w:rPr>
        <w:t xml:space="preserve"> GB/T 33200-2016 中第 8 章的内容执行，可整合“两代表一委员”工作室、“有事好商量”协商议事室等已有办公场所因地制宜设立。</w:t>
      </w:r>
    </w:p>
    <w:p w14:paraId="3CD990C6">
      <w:pPr>
        <w:pStyle w:val="166"/>
      </w:pPr>
      <w:r>
        <w:rPr>
          <w:rFonts w:hint="eastAsia"/>
        </w:rPr>
        <w:t>各级中心应具备满足日常办公需求的办公用房，执行同级党政机关办公用房建设标准。</w:t>
      </w:r>
    </w:p>
    <w:p w14:paraId="2A57AF64">
      <w:pPr>
        <w:pStyle w:val="166"/>
        <w:spacing w:before="120" w:after="120"/>
      </w:pPr>
      <w:r>
        <w:rPr>
          <w:rFonts w:hint="eastAsia"/>
        </w:rPr>
        <w:t>各级中心应坚持共享共用的原则，对相关功能室实行一室多用。</w:t>
      </w:r>
    </w:p>
    <w:p w14:paraId="623B70F8">
      <w:pPr>
        <w:pStyle w:val="106"/>
        <w:spacing w:before="156" w:after="156"/>
      </w:pPr>
      <w:r>
        <w:rPr>
          <w:rFonts w:hint="eastAsia"/>
        </w:rPr>
        <w:t xml:space="preserve"> “一站式”受理大厅</w:t>
      </w:r>
    </w:p>
    <w:p w14:paraId="5991BFB6">
      <w:pPr>
        <w:pStyle w:val="66"/>
        <w:spacing w:before="156" w:after="156"/>
      </w:pPr>
      <w:r>
        <w:rPr>
          <w:rFonts w:hint="eastAsia"/>
        </w:rPr>
        <w:t>场地划分</w:t>
      </w:r>
    </w:p>
    <w:p w14:paraId="17E98997">
      <w:pPr>
        <w:pStyle w:val="165"/>
        <w:rPr>
          <w:rFonts w:hAnsi="Calibri"/>
        </w:rPr>
      </w:pPr>
      <w:r>
        <w:rPr>
          <w:rFonts w:hint="eastAsia"/>
        </w:rPr>
        <w:t>县（市、区）、镇（街道）社会治理综合服务中心“一站式”受理大厅按照功能布局将场地划分为前台导服区、信息支撑区（包括电子大屏、叫号服务等）、来访受理区（包括综合服务窗口、若干专业窗口等）、公共服务区（包括等候区、休息区等），规范接待引导和窗口服务。</w:t>
      </w:r>
    </w:p>
    <w:p w14:paraId="50C809D9">
      <w:pPr>
        <w:pStyle w:val="165"/>
      </w:pPr>
      <w:r>
        <w:rPr>
          <w:rFonts w:hint="eastAsia"/>
        </w:rPr>
        <w:t>村（社区）综治中心受理大厅（接待室）可与便民服务大厅整合设立，有醒目的引导、接待等工作窗口或区域。</w:t>
      </w:r>
    </w:p>
    <w:p w14:paraId="46866878">
      <w:pPr>
        <w:pStyle w:val="66"/>
        <w:spacing w:before="156" w:after="156"/>
      </w:pPr>
      <w:r>
        <w:rPr>
          <w:rFonts w:hint="eastAsia"/>
        </w:rPr>
        <w:t>标识标牌</w:t>
      </w:r>
    </w:p>
    <w:p w14:paraId="7AC32D0A">
      <w:pPr>
        <w:pStyle w:val="57"/>
        <w:ind w:firstLine="420"/>
        <w:rPr>
          <w:rFonts w:hAnsi="Calibri"/>
        </w:rPr>
      </w:pPr>
      <w:r>
        <w:rPr>
          <w:rFonts w:hint="eastAsia"/>
        </w:rPr>
        <w:t>县（市、区）、镇（街道）应在进入“一站式”受理大厅主入口的醒目位置设置“××镇（街道）社会治理综合服务中心”标牌；村（社区）悬挂“××村（社区）综治中心”标牌或标识；标识标牌要醒目、美观、简洁、大方。</w:t>
      </w:r>
    </w:p>
    <w:p w14:paraId="3632372A">
      <w:pPr>
        <w:pStyle w:val="66"/>
        <w:spacing w:before="156" w:after="156"/>
      </w:pPr>
      <w:r>
        <w:rPr>
          <w:rFonts w:hint="eastAsia"/>
        </w:rPr>
        <w:t>前台导服</w:t>
      </w:r>
    </w:p>
    <w:p w14:paraId="525A20AD">
      <w:pPr>
        <w:pStyle w:val="57"/>
        <w:ind w:firstLine="420"/>
        <w:rPr>
          <w:rFonts w:hAnsi="Calibri"/>
        </w:rPr>
      </w:pPr>
      <w:r>
        <w:rPr>
          <w:rFonts w:hint="eastAsia"/>
        </w:rPr>
        <w:t>县（市、区）、镇（街道）两级中心应在大厅的显著位置设立导服台，提供服务咨询、投诉处理等服务，对初步询问符合受理条件的事项，根据事项类型引导至入驻窗口进行办理。</w:t>
      </w:r>
    </w:p>
    <w:p w14:paraId="089DEDB3">
      <w:pPr>
        <w:pStyle w:val="66"/>
        <w:spacing w:before="156" w:after="156"/>
      </w:pPr>
      <w:r>
        <w:rPr>
          <w:rFonts w:hint="eastAsia"/>
        </w:rPr>
        <w:t>服务窗口</w:t>
      </w:r>
    </w:p>
    <w:p w14:paraId="59BE7D44">
      <w:pPr>
        <w:pStyle w:val="57"/>
        <w:ind w:firstLine="420"/>
        <w:rPr>
          <w:rFonts w:hAnsi="Calibri"/>
        </w:rPr>
      </w:pPr>
      <w:r>
        <w:rPr>
          <w:rFonts w:hint="eastAsia"/>
        </w:rPr>
        <w:t>服务窗口应满足以下要求:</w:t>
      </w:r>
    </w:p>
    <w:p w14:paraId="1BC84186">
      <w:pPr>
        <w:pStyle w:val="175"/>
        <w:numPr>
          <w:ilvl w:val="0"/>
          <w:numId w:val="35"/>
        </w:numPr>
      </w:pPr>
      <w:r>
        <w:rPr>
          <w:rFonts w:hint="eastAsia"/>
        </w:rPr>
        <w:t>按照进驻部门的业务关联性设置窗口，并根据工作需求合理调整窗口设置；</w:t>
      </w:r>
    </w:p>
    <w:p w14:paraId="40D800E3">
      <w:pPr>
        <w:pStyle w:val="175"/>
      </w:pPr>
      <w:r>
        <w:rPr>
          <w:rFonts w:hint="eastAsia"/>
        </w:rPr>
        <w:t>提供相关事项的办事指南、材料清单等内容；</w:t>
      </w:r>
    </w:p>
    <w:p w14:paraId="7BC12ECD">
      <w:pPr>
        <w:pStyle w:val="175"/>
      </w:pPr>
      <w:r>
        <w:rPr>
          <w:rFonts w:hint="eastAsia"/>
        </w:rPr>
        <w:t>设置后台工作区为前台窗口业务提供支撑。</w:t>
      </w:r>
    </w:p>
    <w:p w14:paraId="4DE2AB1F">
      <w:pPr>
        <w:pStyle w:val="66"/>
        <w:spacing w:before="156" w:after="156"/>
      </w:pPr>
      <w:r>
        <w:rPr>
          <w:rFonts w:hint="eastAsia"/>
        </w:rPr>
        <w:t>公共服务</w:t>
      </w:r>
    </w:p>
    <w:p w14:paraId="6D54E327">
      <w:pPr>
        <w:pStyle w:val="57"/>
        <w:ind w:firstLine="420"/>
        <w:rPr>
          <w:rFonts w:hAnsi="Calibri"/>
        </w:rPr>
      </w:pPr>
      <w:r>
        <w:rPr>
          <w:rFonts w:hint="eastAsia"/>
        </w:rPr>
        <w:t>公共服务区应提供以下功能：</w:t>
      </w:r>
    </w:p>
    <w:p w14:paraId="32127508">
      <w:pPr>
        <w:pStyle w:val="175"/>
        <w:numPr>
          <w:ilvl w:val="0"/>
          <w:numId w:val="36"/>
        </w:numPr>
      </w:pPr>
      <w:r>
        <w:rPr>
          <w:rFonts w:hint="eastAsia"/>
        </w:rPr>
        <w:t>配备休息椅、饮水机等服务设施；</w:t>
      </w:r>
    </w:p>
    <w:p w14:paraId="1A0D4F46">
      <w:pPr>
        <w:pStyle w:val="175"/>
      </w:pPr>
      <w:r>
        <w:rPr>
          <w:rFonts w:hint="eastAsia"/>
        </w:rPr>
        <w:t>设置残疾人活动的无障碍设施，室外有残疾人进出的通道，并设有无障碍设备标识；</w:t>
      </w:r>
    </w:p>
    <w:p w14:paraId="51A8F4FE">
      <w:pPr>
        <w:pStyle w:val="175"/>
      </w:pPr>
      <w:r>
        <w:rPr>
          <w:rFonts w:hint="eastAsia"/>
        </w:rPr>
        <w:t>配备防火防盗、安全逃生等安全设施，走廊设立防滑安全提示语；</w:t>
      </w:r>
    </w:p>
    <w:p w14:paraId="0DCF850B">
      <w:pPr>
        <w:pStyle w:val="175"/>
      </w:pPr>
      <w:r>
        <w:rPr>
          <w:rFonts w:hint="eastAsia"/>
        </w:rPr>
        <w:t>服务内容、服务流程、工作职责等上墙公开；</w:t>
      </w:r>
    </w:p>
    <w:p w14:paraId="2F106143">
      <w:pPr>
        <w:pStyle w:val="175"/>
      </w:pPr>
      <w:r>
        <w:rPr>
          <w:rFonts w:hint="eastAsia"/>
        </w:rPr>
        <w:t>在醒目位置摆放有关政策法规等宣传资料；</w:t>
      </w:r>
    </w:p>
    <w:p w14:paraId="4B6959B9">
      <w:pPr>
        <w:pStyle w:val="175"/>
      </w:pPr>
      <w:r>
        <w:rPr>
          <w:rFonts w:hint="eastAsia"/>
        </w:rPr>
        <w:t>消防安全标志设置符合GB15630、GB2894的要求，样式满足 GB13495.1的要求；</w:t>
      </w:r>
    </w:p>
    <w:p w14:paraId="7884E3C6">
      <w:pPr>
        <w:pStyle w:val="175"/>
      </w:pPr>
      <w:r>
        <w:rPr>
          <w:rFonts w:hint="eastAsia"/>
        </w:rPr>
        <w:t>设置公共卫生间；</w:t>
      </w:r>
    </w:p>
    <w:p w14:paraId="0EAF8300">
      <w:pPr>
        <w:pStyle w:val="175"/>
      </w:pPr>
      <w:r>
        <w:rPr>
          <w:rFonts w:hint="eastAsia"/>
        </w:rPr>
        <w:t>设置候访分流区。</w:t>
      </w:r>
    </w:p>
    <w:p w14:paraId="57595D72">
      <w:pPr>
        <w:pStyle w:val="66"/>
        <w:spacing w:before="156" w:after="156"/>
      </w:pPr>
      <w:r>
        <w:rPr>
          <w:rFonts w:hint="eastAsia"/>
        </w:rPr>
        <w:t>信息支撑</w:t>
      </w:r>
    </w:p>
    <w:p w14:paraId="6FB690E9">
      <w:pPr>
        <w:pStyle w:val="57"/>
        <w:ind w:firstLine="420"/>
        <w:rPr>
          <w:rFonts w:hAnsi="Calibri"/>
        </w:rPr>
      </w:pPr>
      <w:r>
        <w:rPr>
          <w:rFonts w:hint="eastAsia"/>
        </w:rPr>
        <w:t>信息支撑应满足以下要求：</w:t>
      </w:r>
    </w:p>
    <w:p w14:paraId="6788CE5C">
      <w:pPr>
        <w:pStyle w:val="175"/>
        <w:numPr>
          <w:ilvl w:val="0"/>
          <w:numId w:val="37"/>
        </w:numPr>
      </w:pPr>
      <w:r>
        <w:rPr>
          <w:rFonts w:hint="eastAsia"/>
        </w:rPr>
        <w:t>配备电子大屏，实时发布政策宣传、投诉和咨询电话、服务事项、办理状态、叫号情况等信息；</w:t>
      </w:r>
    </w:p>
    <w:p w14:paraId="4BB76097">
      <w:pPr>
        <w:pStyle w:val="175"/>
      </w:pPr>
      <w:r>
        <w:rPr>
          <w:rFonts w:hint="eastAsia"/>
        </w:rPr>
        <w:t>设置自助服务设备，提供查询办事流程、本人办件状态、服务评价、取号等功能。</w:t>
      </w:r>
    </w:p>
    <w:p w14:paraId="2C9E79D5">
      <w:pPr>
        <w:pStyle w:val="175"/>
      </w:pPr>
      <w:r>
        <w:rPr>
          <w:rFonts w:hint="eastAsia"/>
        </w:rPr>
        <w:t>村（社区）综治中心通过上墙制度、橱窗公示、显示设备展示等方式展示宣传调解工作程序、服务内容、服务流程、服务人员、咨询电话等内容，方便群众监督。</w:t>
      </w:r>
    </w:p>
    <w:p w14:paraId="096AE09C">
      <w:pPr>
        <w:pStyle w:val="106"/>
        <w:spacing w:before="156" w:after="156"/>
      </w:pPr>
      <w:r>
        <w:rPr>
          <w:rFonts w:hint="eastAsia"/>
        </w:rPr>
        <w:t>调解工作区</w:t>
      </w:r>
    </w:p>
    <w:p w14:paraId="71B7E1CD">
      <w:pPr>
        <w:pStyle w:val="166"/>
        <w:rPr>
          <w:rFonts w:hAnsi="Calibri"/>
        </w:rPr>
      </w:pPr>
      <w:r>
        <w:rPr>
          <w:rFonts w:hint="eastAsia"/>
        </w:rPr>
        <w:t>县（市、区）、镇（街道）社会治理综合服务中心应当设置专门的调解工作区域。</w:t>
      </w:r>
    </w:p>
    <w:p w14:paraId="207537B2">
      <w:pPr>
        <w:pStyle w:val="166"/>
      </w:pPr>
      <w:r>
        <w:rPr>
          <w:rFonts w:hint="eastAsia"/>
        </w:rPr>
        <w:t>调解工作区可设置若干不同面积的调解室，调解室内宜设置“调解员”“记录员”“当事人”桌牌，适当布设调解文化氛围。</w:t>
      </w:r>
    </w:p>
    <w:p w14:paraId="53F2D2ED">
      <w:pPr>
        <w:pStyle w:val="166"/>
      </w:pPr>
      <w:r>
        <w:rPr>
          <w:rFonts w:hint="eastAsia"/>
        </w:rPr>
        <w:t>村（社区）综治中心调解室可与其它功能室共用。</w:t>
      </w:r>
    </w:p>
    <w:p w14:paraId="46BB39BE">
      <w:pPr>
        <w:pStyle w:val="106"/>
        <w:spacing w:before="156" w:after="156"/>
        <w:rPr>
          <w:highlight w:val="none"/>
        </w:rPr>
      </w:pPr>
      <w:r>
        <w:rPr>
          <w:rFonts w:hint="eastAsia"/>
          <w:highlight w:val="none"/>
          <w:lang w:val="en-US" w:eastAsia="zh-CN"/>
        </w:rPr>
        <w:t>办公</w:t>
      </w:r>
      <w:r>
        <w:rPr>
          <w:rFonts w:hint="eastAsia"/>
          <w:highlight w:val="none"/>
        </w:rPr>
        <w:t>区</w:t>
      </w:r>
    </w:p>
    <w:p w14:paraId="7DEA37A9">
      <w:pPr>
        <w:pStyle w:val="57"/>
        <w:ind w:firstLine="420"/>
        <w:rPr>
          <w:rFonts w:hAnsi="Calibri"/>
          <w:highlight w:val="none"/>
        </w:rPr>
      </w:pPr>
      <w:r>
        <w:rPr>
          <w:rFonts w:hint="eastAsia"/>
          <w:highlight w:val="none"/>
        </w:rPr>
        <w:t>县（市、区）、镇（街道）社会治理综合服务中心应设置</w:t>
      </w:r>
      <w:r>
        <w:rPr>
          <w:rFonts w:hint="eastAsia"/>
          <w:highlight w:val="none"/>
          <w:lang w:val="en-US" w:eastAsia="zh-CN"/>
        </w:rPr>
        <w:t>办公区</w:t>
      </w:r>
      <w:r>
        <w:rPr>
          <w:rFonts w:hint="eastAsia"/>
          <w:highlight w:val="none"/>
        </w:rPr>
        <w:t>，</w:t>
      </w:r>
      <w:r>
        <w:rPr>
          <w:rFonts w:hint="eastAsia"/>
          <w:highlight w:val="none"/>
          <w:lang w:val="en-US" w:eastAsia="zh-CN"/>
        </w:rPr>
        <w:t>中心工作人员、部门进驻人员、调解员以及整建制进驻中心的单位应有对应的独立工作区域，分析研判、会商会办、指挥调度等功能室可</w:t>
      </w:r>
      <w:r>
        <w:rPr>
          <w:rFonts w:hint="eastAsia"/>
          <w:highlight w:val="none"/>
        </w:rPr>
        <w:t>共用。</w:t>
      </w:r>
    </w:p>
    <w:p w14:paraId="2CE8E10B">
      <w:pPr>
        <w:pStyle w:val="105"/>
        <w:spacing w:before="312" w:after="312"/>
      </w:pPr>
      <w:bookmarkStart w:id="48" w:name="_Toc159507848"/>
      <w:r>
        <w:rPr>
          <w:rFonts w:hint="eastAsia"/>
        </w:rPr>
        <w:t>信息化建设</w:t>
      </w:r>
      <w:bookmarkEnd w:id="48"/>
    </w:p>
    <w:p w14:paraId="7D75158C">
      <w:pPr>
        <w:pStyle w:val="106"/>
        <w:spacing w:before="156" w:after="156"/>
      </w:pPr>
      <w:r>
        <w:rPr>
          <w:rFonts w:hint="eastAsia"/>
        </w:rPr>
        <w:t>管理系统</w:t>
      </w:r>
    </w:p>
    <w:p w14:paraId="5F66F76D">
      <w:pPr>
        <w:pStyle w:val="57"/>
        <w:ind w:firstLine="420"/>
        <w:rPr>
          <w:rFonts w:hAnsi="Calibri"/>
          <w:color w:val="000000"/>
          <w:highlight w:val="none"/>
        </w:rPr>
      </w:pPr>
      <w:r>
        <w:rPr>
          <w:rFonts w:hint="eastAsia"/>
          <w:highlight w:val="none"/>
          <w:lang w:val="en-US" w:eastAsia="zh-CN"/>
        </w:rPr>
        <w:t>县（市、区）、镇（街道）、村（社区）三级社会治理综合服务</w:t>
      </w:r>
      <w:r>
        <w:rPr>
          <w:rFonts w:hint="eastAsia"/>
          <w:highlight w:val="none"/>
        </w:rPr>
        <w:t>中心应加强信息化建设，全面应用</w:t>
      </w:r>
      <w:r>
        <w:rPr>
          <w:rFonts w:hint="eastAsia"/>
          <w:highlight w:val="none"/>
          <w:lang w:val="en-US" w:eastAsia="zh-CN"/>
        </w:rPr>
        <w:t>全市</w:t>
      </w:r>
      <w:r>
        <w:rPr>
          <w:rFonts w:hint="eastAsia"/>
          <w:color w:val="000000"/>
          <w:highlight w:val="none"/>
        </w:rPr>
        <w:t>矛盾纠纷风险隐患管理系统。</w:t>
      </w:r>
    </w:p>
    <w:p w14:paraId="308528A8">
      <w:pPr>
        <w:pStyle w:val="166"/>
        <w:rPr>
          <w:kern w:val="2"/>
          <w:highlight w:val="none"/>
        </w:rPr>
      </w:pPr>
      <w:r>
        <w:rPr>
          <w:rFonts w:hint="eastAsia"/>
          <w:highlight w:val="none"/>
        </w:rPr>
        <w:t xml:space="preserve">矛盾纠纷风险隐患管理系统除满足 GB/T 31000 的规定外还应满足以下要求： </w:t>
      </w:r>
    </w:p>
    <w:p w14:paraId="5250E89C">
      <w:pPr>
        <w:pStyle w:val="175"/>
        <w:numPr>
          <w:ilvl w:val="0"/>
          <w:numId w:val="38"/>
        </w:numPr>
      </w:pPr>
      <w:r>
        <w:rPr>
          <w:rFonts w:hint="eastAsia"/>
          <w:highlight w:val="none"/>
        </w:rPr>
        <w:t>建立满足运行需要的信息系统，以</w:t>
      </w:r>
      <w:r>
        <w:rPr>
          <w:rFonts w:hint="eastAsia"/>
          <w:highlight w:val="none"/>
          <w:lang w:val="en-US" w:eastAsia="zh-CN"/>
        </w:rPr>
        <w:t>县（市、区）</w:t>
      </w:r>
      <w:r>
        <w:rPr>
          <w:rFonts w:hint="eastAsia"/>
          <w:highlight w:val="none"/>
        </w:rPr>
        <w:t>统一专业应用系统为入口，实现矛</w:t>
      </w:r>
      <w:r>
        <w:rPr>
          <w:rFonts w:hint="eastAsia"/>
        </w:rPr>
        <w:t xml:space="preserve">盾纠纷统一录入、数据归集、实时分流、业务协同、监督考评、全程管控； </w:t>
      </w:r>
    </w:p>
    <w:p w14:paraId="78C8C2C1">
      <w:pPr>
        <w:pStyle w:val="175"/>
      </w:pPr>
      <w:r>
        <w:rPr>
          <w:rFonts w:hint="eastAsia"/>
        </w:rPr>
        <w:t xml:space="preserve">信息系统功能设计实现受理、流转、办理、反馈的业务闭环。 </w:t>
      </w:r>
    </w:p>
    <w:p w14:paraId="5A464074">
      <w:pPr>
        <w:pStyle w:val="66"/>
        <w:spacing w:before="156" w:after="156"/>
      </w:pPr>
      <w:r>
        <w:rPr>
          <w:rFonts w:hint="eastAsia"/>
        </w:rPr>
        <w:t xml:space="preserve">硬件配套 </w:t>
      </w:r>
    </w:p>
    <w:p w14:paraId="6B9052C3">
      <w:pPr>
        <w:pStyle w:val="57"/>
        <w:ind w:firstLine="420"/>
        <w:rPr>
          <w:rFonts w:hAnsi="Calibri"/>
          <w:kern w:val="2"/>
        </w:rPr>
      </w:pPr>
      <w:r>
        <w:rPr>
          <w:rFonts w:hint="eastAsia"/>
        </w:rPr>
        <w:t>应不低于 GB/T 33200-2016 中第 9.2～9.4 规定的要求。</w:t>
      </w:r>
    </w:p>
    <w:p w14:paraId="03AD4DA9">
      <w:pPr>
        <w:pStyle w:val="66"/>
        <w:spacing w:before="156" w:after="156"/>
      </w:pPr>
      <w:r>
        <w:rPr>
          <w:rFonts w:hint="eastAsia"/>
        </w:rPr>
        <w:t xml:space="preserve">安全防护 </w:t>
      </w:r>
    </w:p>
    <w:p w14:paraId="2CAC24F2">
      <w:pPr>
        <w:pStyle w:val="57"/>
        <w:ind w:firstLine="420"/>
        <w:rPr>
          <w:rFonts w:hAnsi="Calibri"/>
          <w:kern w:val="2"/>
        </w:rPr>
      </w:pPr>
      <w:r>
        <w:rPr>
          <w:rFonts w:hint="eastAsia"/>
        </w:rPr>
        <w:t xml:space="preserve">应满足以下要求： </w:t>
      </w:r>
    </w:p>
    <w:p w14:paraId="039DA375">
      <w:pPr>
        <w:pStyle w:val="175"/>
        <w:numPr>
          <w:ilvl w:val="0"/>
          <w:numId w:val="39"/>
        </w:numPr>
      </w:pPr>
      <w:r>
        <w:rPr>
          <w:rFonts w:hint="eastAsia"/>
        </w:rPr>
        <w:t xml:space="preserve">信息和网络安全符合 GB/T 20269、GB/T 20270、GB/T 20271 的要求； </w:t>
      </w:r>
    </w:p>
    <w:p w14:paraId="64EB238A">
      <w:pPr>
        <w:pStyle w:val="175"/>
      </w:pPr>
      <w:r>
        <w:rPr>
          <w:rFonts w:hint="eastAsia"/>
        </w:rPr>
        <w:t xml:space="preserve">实现对基础设施、信息和信用等资源的立体化、自动化安全监测，对终端用户和应用系统的全方位、智能化安全防护； </w:t>
      </w:r>
    </w:p>
    <w:p w14:paraId="7EAC5CE8">
      <w:pPr>
        <w:pStyle w:val="175"/>
      </w:pPr>
      <w:r>
        <w:rPr>
          <w:rFonts w:hint="eastAsia"/>
        </w:rPr>
        <w:t xml:space="preserve">信息使用管理实行分级授权准入制度，并实行“一级一权限、一人一密码”。 </w:t>
      </w:r>
    </w:p>
    <w:p w14:paraId="06C0456A">
      <w:pPr>
        <w:pStyle w:val="106"/>
        <w:spacing w:before="156" w:after="156"/>
      </w:pPr>
      <w:r>
        <w:rPr>
          <w:rFonts w:hint="eastAsia"/>
        </w:rPr>
        <w:t>音视频监控</w:t>
      </w:r>
    </w:p>
    <w:p w14:paraId="1AC7E6D0">
      <w:pPr>
        <w:pStyle w:val="57"/>
        <w:ind w:firstLine="420"/>
        <w:rPr>
          <w:rFonts w:hint="default" w:hAnsi="Calibri" w:eastAsia="宋体"/>
          <w:strike/>
          <w:highlight w:val="none"/>
          <w:u w:val="single"/>
          <w:lang w:val="en-US" w:eastAsia="zh-CN"/>
        </w:rPr>
      </w:pPr>
      <w:r>
        <w:rPr>
          <w:rFonts w:hint="eastAsia"/>
          <w:highlight w:val="none"/>
        </w:rPr>
        <w:t>县（市、区）、镇（街道）、村（社区）三级社会治理综合服务中心各工作区应建设音视频监控系统</w:t>
      </w:r>
      <w:r>
        <w:rPr>
          <w:rFonts w:hint="eastAsia"/>
          <w:highlight w:val="none"/>
          <w:lang w:eastAsia="zh-CN"/>
        </w:rPr>
        <w:t>（</w:t>
      </w:r>
      <w:r>
        <w:rPr>
          <w:rFonts w:hint="eastAsia"/>
          <w:highlight w:val="none"/>
        </w:rPr>
        <w:t>有条件的可接入治安视频监控体系</w:t>
      </w:r>
      <w:r>
        <w:rPr>
          <w:rFonts w:hint="eastAsia"/>
          <w:highlight w:val="none"/>
          <w:lang w:eastAsia="zh-CN"/>
        </w:rPr>
        <w:t>），</w:t>
      </w:r>
      <w:r>
        <w:rPr>
          <w:rFonts w:hint="eastAsia"/>
          <w:highlight w:val="none"/>
        </w:rPr>
        <w:t>监控系统应具备录音录像功能，储存</w:t>
      </w:r>
      <w:r>
        <w:rPr>
          <w:rFonts w:hint="eastAsia"/>
          <w:highlight w:val="none"/>
          <w:lang w:val="en-US" w:eastAsia="zh-CN"/>
        </w:rPr>
        <w:t>至少</w:t>
      </w:r>
      <w:r>
        <w:rPr>
          <w:rFonts w:hint="eastAsia"/>
          <w:highlight w:val="none"/>
        </w:rPr>
        <w:t>30天以上</w:t>
      </w:r>
      <w:r>
        <w:rPr>
          <w:rFonts w:hint="eastAsia"/>
          <w:highlight w:val="none"/>
          <w:lang w:eastAsia="zh-CN"/>
        </w:rPr>
        <w:t>。</w:t>
      </w:r>
      <w:r>
        <w:rPr>
          <w:rFonts w:hint="eastAsia"/>
          <w:highlight w:val="none"/>
          <w:lang w:val="en-US" w:eastAsia="zh-CN"/>
        </w:rPr>
        <w:t>加强音视频资源的管理，资源存储、查看、调用等活动必须严格遵守保护个人隐私、保密等相关规定。</w:t>
      </w:r>
    </w:p>
    <w:p w14:paraId="579713EF">
      <w:pPr>
        <w:pStyle w:val="105"/>
        <w:spacing w:before="312" w:after="312"/>
      </w:pPr>
      <w:bookmarkStart w:id="49" w:name="_Toc159507849"/>
      <w:r>
        <w:rPr>
          <w:rFonts w:hint="eastAsia"/>
        </w:rPr>
        <w:t>运行要求</w:t>
      </w:r>
      <w:bookmarkEnd w:id="49"/>
    </w:p>
    <w:p w14:paraId="42AB9441">
      <w:pPr>
        <w:pStyle w:val="106"/>
        <w:spacing w:before="156" w:after="156"/>
      </w:pPr>
      <w:r>
        <w:rPr>
          <w:rFonts w:hint="eastAsia"/>
        </w:rPr>
        <w:t xml:space="preserve">基本要求 </w:t>
      </w:r>
    </w:p>
    <w:p w14:paraId="16E035D1">
      <w:pPr>
        <w:pStyle w:val="166"/>
        <w:rPr>
          <w:rFonts w:hAnsi="Calibri"/>
          <w:kern w:val="2"/>
        </w:rPr>
      </w:pPr>
      <w:r>
        <w:rPr>
          <w:rFonts w:hint="eastAsia"/>
        </w:rPr>
        <w:t>县（市、区）、镇（街道）、村（社区）三级社会治理综合服务中心为本辖区矛盾纠纷受理流转处置的工作主体，</w:t>
      </w:r>
      <w:r>
        <w:rPr>
          <w:rFonts w:hint="eastAsia"/>
          <w:color w:val="000000"/>
        </w:rPr>
        <w:t xml:space="preserve">通过矛盾纠纷风险隐患管理系统实现纠纷的流转与处置。 </w:t>
      </w:r>
    </w:p>
    <w:p w14:paraId="1A40086A">
      <w:pPr>
        <w:pStyle w:val="166"/>
      </w:pPr>
      <w:r>
        <w:rPr>
          <w:rFonts w:hint="eastAsia"/>
          <w:color w:val="000000"/>
        </w:rPr>
        <w:t xml:space="preserve">加强人民调解、行政调解、司法调解衔接联动，发挥调解、仲裁、行政裁决、行政复议等非诉解决方式优势，将矛盾纠纷化解在成诉、成访之前。 </w:t>
      </w:r>
    </w:p>
    <w:p w14:paraId="1F70FDA5">
      <w:pPr>
        <w:pStyle w:val="166"/>
      </w:pPr>
      <w:r>
        <w:rPr>
          <w:rFonts w:hint="eastAsia"/>
          <w:color w:val="000000"/>
        </w:rPr>
        <w:t>围绕“小事不出村、大事不出镇、矛盾不上交”工作目标，加强</w:t>
      </w:r>
      <w:r>
        <w:rPr>
          <w:rFonts w:hint="eastAsia"/>
        </w:rPr>
        <w:t>县（市、区）</w:t>
      </w:r>
      <w:r>
        <w:rPr>
          <w:rFonts w:hint="eastAsia"/>
          <w:color w:val="000000"/>
        </w:rPr>
        <w:t>、镇（街道）、村（社区）上下业务协同，推动将社会矛盾纠纷解决在萌芽状态、化解在基层。</w:t>
      </w:r>
    </w:p>
    <w:p w14:paraId="57227206">
      <w:pPr>
        <w:pStyle w:val="166"/>
      </w:pPr>
      <w:r>
        <w:rPr>
          <w:rFonts w:hint="eastAsia"/>
          <w:color w:val="000000"/>
        </w:rPr>
        <w:t>对重大疑难纠纷和群体性纠纷实行联合接访、联合调处、联合督办。</w:t>
      </w:r>
    </w:p>
    <w:p w14:paraId="2FC88293">
      <w:pPr>
        <w:pStyle w:val="106"/>
        <w:spacing w:before="156" w:after="156"/>
      </w:pPr>
      <w:r>
        <w:rPr>
          <w:rFonts w:hint="eastAsia"/>
        </w:rPr>
        <w:t xml:space="preserve">通用流程 </w:t>
      </w:r>
      <w:r>
        <w:rPr>
          <w:rFonts w:hint="eastAsia"/>
          <w:lang w:val="en-US" w:eastAsia="zh-CN"/>
        </w:rPr>
        <w:tab/>
      </w:r>
    </w:p>
    <w:p w14:paraId="367E7D03">
      <w:pPr>
        <w:pStyle w:val="66"/>
        <w:spacing w:before="156" w:after="156"/>
      </w:pPr>
      <w:r>
        <w:rPr>
          <w:rFonts w:hint="eastAsia"/>
        </w:rPr>
        <w:t xml:space="preserve"> 通用流程图 </w:t>
      </w:r>
    </w:p>
    <w:p w14:paraId="5D817BDE">
      <w:pPr>
        <w:pStyle w:val="57"/>
        <w:ind w:firstLine="420"/>
        <w:rPr>
          <w:rFonts w:hAnsi="Calibri"/>
          <w:kern w:val="2"/>
          <w:highlight w:val="none"/>
        </w:rPr>
      </w:pPr>
      <w:r>
        <w:rPr>
          <w:rFonts w:hint="eastAsia"/>
          <w:highlight w:val="none"/>
          <w:lang w:eastAsia="zh-CN"/>
        </w:rPr>
        <w:t>“</w:t>
      </w:r>
      <w:r>
        <w:rPr>
          <w:rFonts w:hint="eastAsia"/>
          <w:highlight w:val="none"/>
          <w:lang w:val="en-US" w:eastAsia="zh-CN"/>
        </w:rPr>
        <w:t>一站式</w:t>
      </w:r>
      <w:r>
        <w:rPr>
          <w:rFonts w:hint="eastAsia"/>
          <w:highlight w:val="none"/>
          <w:lang w:eastAsia="zh-CN"/>
        </w:rPr>
        <w:t>”</w:t>
      </w:r>
      <w:r>
        <w:rPr>
          <w:rFonts w:hint="eastAsia"/>
          <w:highlight w:val="none"/>
          <w:lang w:val="en-US" w:eastAsia="zh-CN"/>
        </w:rPr>
        <w:t>平台</w:t>
      </w:r>
      <w:r>
        <w:rPr>
          <w:rFonts w:hint="eastAsia"/>
          <w:highlight w:val="none"/>
        </w:rPr>
        <w:t xml:space="preserve">工作通用流程图见图2。 </w:t>
      </w:r>
    </w:p>
    <w:p w14:paraId="501559CF">
      <w:pPr>
        <w:widowControl/>
        <w:spacing w:line="240" w:lineRule="auto"/>
        <w:jc w:val="center"/>
        <w:rPr>
          <w:rFonts w:hint="eastAsia" w:ascii="仿宋_GB2312" w:eastAsia="仿宋_GB2312"/>
          <w:color w:val="000000"/>
          <w:kern w:val="0"/>
          <w:sz w:val="28"/>
          <w:szCs w:val="28"/>
          <w:lang w:eastAsia="zh-CN"/>
        </w:rPr>
      </w:pPr>
      <w:r>
        <w:rPr>
          <w:rFonts w:hint="eastAsia" w:ascii="仿宋_GB2312" w:eastAsia="仿宋_GB2312"/>
          <w:color w:val="000000"/>
          <w:kern w:val="0"/>
          <w:sz w:val="28"/>
          <w:szCs w:val="28"/>
          <w:lang w:eastAsia="zh-CN"/>
        </w:rPr>
        <w:drawing>
          <wp:inline distT="0" distB="0" distL="114300" distR="114300">
            <wp:extent cx="4169410" cy="3988435"/>
            <wp:effectExtent l="0" t="0" r="0"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17"/>
                    <a:srcRect l="2528" r="985" b="1613"/>
                    <a:stretch>
                      <a:fillRect/>
                    </a:stretch>
                  </pic:blipFill>
                  <pic:spPr>
                    <a:xfrm>
                      <a:off x="0" y="0"/>
                      <a:ext cx="4169410" cy="3988435"/>
                    </a:xfrm>
                    <a:prstGeom prst="rect">
                      <a:avLst/>
                    </a:prstGeom>
                  </pic:spPr>
                </pic:pic>
              </a:graphicData>
            </a:graphic>
          </wp:inline>
        </w:drawing>
      </w:r>
    </w:p>
    <w:p w14:paraId="31F084B4">
      <w:pPr>
        <w:pStyle w:val="115"/>
        <w:spacing w:before="156" w:after="156"/>
        <w:rPr>
          <w:highlight w:val="none"/>
        </w:rPr>
      </w:pPr>
      <w:r>
        <w:rPr>
          <w:rFonts w:hint="eastAsia"/>
          <w:highlight w:val="none"/>
        </w:rPr>
        <w:t xml:space="preserve"> </w:t>
      </w:r>
      <w:r>
        <w:rPr>
          <w:rFonts w:hint="eastAsia"/>
          <w:highlight w:val="none"/>
          <w:lang w:eastAsia="zh-CN"/>
        </w:rPr>
        <w:t>“</w:t>
      </w:r>
      <w:r>
        <w:rPr>
          <w:rFonts w:hint="eastAsia"/>
          <w:highlight w:val="none"/>
          <w:lang w:val="en-US" w:eastAsia="zh-CN"/>
        </w:rPr>
        <w:t>一站式</w:t>
      </w:r>
      <w:r>
        <w:rPr>
          <w:rFonts w:hint="eastAsia"/>
          <w:highlight w:val="none"/>
          <w:lang w:eastAsia="zh-CN"/>
        </w:rPr>
        <w:t>”</w:t>
      </w:r>
      <w:r>
        <w:rPr>
          <w:rFonts w:hint="eastAsia"/>
          <w:highlight w:val="none"/>
          <w:lang w:val="en-US" w:eastAsia="zh-CN"/>
        </w:rPr>
        <w:t>平台工作</w:t>
      </w:r>
      <w:r>
        <w:rPr>
          <w:rFonts w:hint="eastAsia"/>
          <w:highlight w:val="none"/>
        </w:rPr>
        <w:t>通用流程图</w:t>
      </w:r>
    </w:p>
    <w:p w14:paraId="025B3B0B">
      <w:pPr>
        <w:pStyle w:val="66"/>
        <w:spacing w:before="156" w:after="156"/>
        <w:rPr>
          <w:kern w:val="2"/>
          <w:highlight w:val="none"/>
        </w:rPr>
      </w:pPr>
      <w:r>
        <w:rPr>
          <w:rFonts w:hint="eastAsia"/>
          <w:highlight w:val="none"/>
          <w:lang w:val="en-US" w:eastAsia="zh-CN"/>
        </w:rPr>
        <w:t>来访接待</w:t>
      </w:r>
      <w:r>
        <w:rPr>
          <w:rFonts w:hint="eastAsia"/>
          <w:highlight w:val="none"/>
        </w:rPr>
        <w:t xml:space="preserve">要求 </w:t>
      </w:r>
    </w:p>
    <w:p w14:paraId="1772E6FD">
      <w:pPr>
        <w:pStyle w:val="57"/>
        <w:ind w:firstLine="420"/>
        <w:rPr>
          <w:rFonts w:hAnsi="Calibri"/>
          <w:color w:val="000000"/>
        </w:rPr>
      </w:pPr>
      <w:r>
        <w:rPr>
          <w:rFonts w:hint="eastAsia"/>
        </w:rPr>
        <w:t>中心工作人员对接待的来访对象，须详细登记来访人员个人信息及诉求。</w:t>
      </w:r>
    </w:p>
    <w:p w14:paraId="61780205">
      <w:pPr>
        <w:pStyle w:val="175"/>
        <w:numPr>
          <w:ilvl w:val="0"/>
          <w:numId w:val="40"/>
        </w:numPr>
        <w:rPr>
          <w:kern w:val="2"/>
        </w:rPr>
      </w:pPr>
      <w:r>
        <w:rPr>
          <w:rFonts w:hint="eastAsia"/>
        </w:rPr>
        <w:t xml:space="preserve">对事实清楚、符合本级中心受理的事项，及时受理登记流转、办理； </w:t>
      </w:r>
    </w:p>
    <w:p w14:paraId="1BA1BE10">
      <w:pPr>
        <w:pStyle w:val="175"/>
        <w:rPr>
          <w:highlight w:val="none"/>
        </w:rPr>
      </w:pPr>
      <w:r>
        <w:rPr>
          <w:rFonts w:hint="eastAsia"/>
        </w:rPr>
        <w:t>对事实清楚，应由下级中心受理的事项，及时受理登记流转至下级中心，并告知来访人到相关中心处理。</w:t>
      </w:r>
    </w:p>
    <w:p w14:paraId="1B1F917D">
      <w:pPr>
        <w:pStyle w:val="175"/>
        <w:rPr>
          <w:highlight w:val="none"/>
        </w:rPr>
      </w:pPr>
      <w:r>
        <w:rPr>
          <w:rFonts w:hint="eastAsia"/>
          <w:highlight w:val="none"/>
        </w:rPr>
        <w:t>镇村两级中心在来访接待过程中需要提级办理的事项，应及时受理登记并上报上级中心处置。</w:t>
      </w:r>
    </w:p>
    <w:p w14:paraId="0A00E54F">
      <w:pPr>
        <w:pStyle w:val="175"/>
        <w:rPr>
          <w:highlight w:val="none"/>
        </w:rPr>
      </w:pPr>
      <w:r>
        <w:rPr>
          <w:rFonts w:hint="eastAsia"/>
          <w:highlight w:val="none"/>
        </w:rPr>
        <w:t>按照“首次接访、全程跟踪、负责到底”的原则，对直接</w:t>
      </w:r>
      <w:r>
        <w:rPr>
          <w:rFonts w:hint="eastAsia"/>
          <w:highlight w:val="none"/>
          <w:lang w:val="en-US" w:eastAsia="zh-CN"/>
        </w:rPr>
        <w:t>办理</w:t>
      </w:r>
      <w:r>
        <w:rPr>
          <w:rFonts w:hint="eastAsia"/>
          <w:highlight w:val="none"/>
        </w:rPr>
        <w:t>或分流到有关单位办理的</w:t>
      </w:r>
      <w:r>
        <w:rPr>
          <w:rFonts w:hint="eastAsia"/>
          <w:highlight w:val="none"/>
          <w:lang w:val="en-US" w:eastAsia="zh-CN"/>
        </w:rPr>
        <w:t>群众诉求</w:t>
      </w:r>
      <w:r>
        <w:rPr>
          <w:rFonts w:hint="eastAsia"/>
          <w:highlight w:val="none"/>
        </w:rPr>
        <w:t>进行痕迹跟踪，随时掌握</w:t>
      </w:r>
      <w:r>
        <w:rPr>
          <w:rFonts w:hint="eastAsia"/>
          <w:highlight w:val="none"/>
          <w:lang w:val="en-US" w:eastAsia="zh-CN"/>
        </w:rPr>
        <w:t>办理</w:t>
      </w:r>
      <w:r>
        <w:rPr>
          <w:rFonts w:hint="eastAsia"/>
          <w:highlight w:val="none"/>
        </w:rPr>
        <w:t>进度，及时了解</w:t>
      </w:r>
      <w:r>
        <w:rPr>
          <w:rFonts w:hint="eastAsia"/>
          <w:highlight w:val="none"/>
          <w:lang w:val="en-US" w:eastAsia="zh-CN"/>
        </w:rPr>
        <w:t>办理</w:t>
      </w:r>
      <w:r>
        <w:rPr>
          <w:rFonts w:hint="eastAsia"/>
          <w:highlight w:val="none"/>
        </w:rPr>
        <w:t>结果。</w:t>
      </w:r>
    </w:p>
    <w:p w14:paraId="531F3423">
      <w:pPr>
        <w:pStyle w:val="175"/>
        <w:rPr>
          <w:highlight w:val="none"/>
        </w:rPr>
      </w:pPr>
      <w:r>
        <w:rPr>
          <w:rFonts w:hint="eastAsia"/>
          <w:highlight w:val="none"/>
          <w:lang w:val="en-US" w:eastAsia="zh-CN"/>
        </w:rPr>
        <w:t>来访登记、移送流转、办理反馈等工作都应通过全市矛盾纠纷风险隐患管理系统实施。</w:t>
      </w:r>
    </w:p>
    <w:p w14:paraId="59A8F7E7">
      <w:pPr>
        <w:pStyle w:val="105"/>
        <w:spacing w:before="312" w:after="312"/>
        <w:rPr>
          <w:kern w:val="2"/>
        </w:rPr>
      </w:pPr>
      <w:bookmarkStart w:id="50" w:name="_Toc159507850"/>
      <w:r>
        <w:rPr>
          <w:rFonts w:hint="eastAsia"/>
        </w:rPr>
        <w:t>矛盾纠纷调处化解</w:t>
      </w:r>
      <w:bookmarkEnd w:id="50"/>
    </w:p>
    <w:p w14:paraId="39E732A9">
      <w:pPr>
        <w:pStyle w:val="106"/>
        <w:spacing w:before="156" w:after="156"/>
      </w:pPr>
      <w:r>
        <w:rPr>
          <w:rFonts w:hint="eastAsia"/>
        </w:rPr>
        <w:t xml:space="preserve">调解原则 </w:t>
      </w:r>
    </w:p>
    <w:p w14:paraId="37F39C05">
      <w:pPr>
        <w:pStyle w:val="66"/>
        <w:spacing w:before="156" w:after="156"/>
      </w:pPr>
      <w:r>
        <w:rPr>
          <w:rFonts w:hint="eastAsia"/>
        </w:rPr>
        <w:t xml:space="preserve">分级调处 </w:t>
      </w:r>
    </w:p>
    <w:p w14:paraId="56EE247D">
      <w:pPr>
        <w:pStyle w:val="165"/>
        <w:rPr>
          <w:rFonts w:hAnsi="Calibri"/>
        </w:rPr>
      </w:pPr>
      <w:r>
        <w:rPr>
          <w:rFonts w:hint="eastAsia"/>
        </w:rPr>
        <w:t>依托县（市、区）、镇（街道）、村（社区）三级社会治理综合服务体系，根据矛盾纠纷难易程度开展分级调处。</w:t>
      </w:r>
    </w:p>
    <w:p w14:paraId="47CD3D26">
      <w:pPr>
        <w:pStyle w:val="165"/>
      </w:pPr>
      <w:r>
        <w:rPr>
          <w:rFonts w:hint="eastAsia"/>
        </w:rPr>
        <w:t>县（市、区）社会治理综合服务中心负责协调指导化解重大疑难或跨区域、跨职能等其他矛盾纠纷；镇（</w:t>
      </w:r>
      <w:r>
        <w:rPr>
          <w:rFonts w:hint="eastAsia"/>
          <w:lang w:val="en-US" w:eastAsia="zh-CN"/>
        </w:rPr>
        <w:t>街道</w:t>
      </w:r>
      <w:r>
        <w:rPr>
          <w:rFonts w:hint="eastAsia"/>
        </w:rPr>
        <w:t>）社会治理综合服务中心负责协调指导化解辖区内的</w:t>
      </w:r>
      <w:r>
        <w:rPr>
          <w:rFonts w:hint="eastAsia"/>
          <w:u w:val="none"/>
        </w:rPr>
        <w:t>较大</w:t>
      </w:r>
      <w:r>
        <w:rPr>
          <w:rFonts w:hint="eastAsia"/>
        </w:rPr>
        <w:t>矛盾纠纷；村（社区）综治中心负责调处辖区内一般矛盾纠纷。</w:t>
      </w:r>
    </w:p>
    <w:p w14:paraId="7AE61C23">
      <w:pPr>
        <w:pStyle w:val="165"/>
        <w:rPr>
          <w:kern w:val="2"/>
        </w:rPr>
      </w:pPr>
      <w:r>
        <w:rPr>
          <w:rFonts w:hint="eastAsia"/>
        </w:rPr>
        <w:t>村（</w:t>
      </w:r>
      <w:r>
        <w:rPr>
          <w:rFonts w:hint="eastAsia"/>
          <w:lang w:val="en-US" w:eastAsia="zh-CN"/>
        </w:rPr>
        <w:t>社区</w:t>
      </w:r>
      <w:r>
        <w:rPr>
          <w:rFonts w:hint="eastAsia"/>
        </w:rPr>
        <w:t>）综治中心对需要提级至镇（</w:t>
      </w:r>
      <w:r>
        <w:rPr>
          <w:rFonts w:hint="eastAsia"/>
          <w:lang w:val="en-US" w:eastAsia="zh-CN"/>
        </w:rPr>
        <w:t>街道</w:t>
      </w:r>
      <w:r>
        <w:rPr>
          <w:rFonts w:hint="eastAsia"/>
        </w:rPr>
        <w:t>）社会治理综合服务中心的纠纷进行研判，拟定提级意见后进行提级；镇（</w:t>
      </w:r>
      <w:r>
        <w:rPr>
          <w:rFonts w:hint="eastAsia"/>
          <w:lang w:val="en-US" w:eastAsia="zh-CN"/>
        </w:rPr>
        <w:t>街道</w:t>
      </w:r>
      <w:r>
        <w:rPr>
          <w:rFonts w:hint="eastAsia"/>
        </w:rPr>
        <w:t>）社会治理综合服务中心对需要提级至县（市、区）社会治理综合服务中心的纠纷进行研判，拟定提级意见经镇（</w:t>
      </w:r>
      <w:r>
        <w:rPr>
          <w:rFonts w:hint="eastAsia"/>
          <w:lang w:val="en-US" w:eastAsia="zh-CN"/>
        </w:rPr>
        <w:t>街道</w:t>
      </w:r>
      <w:r>
        <w:rPr>
          <w:rFonts w:hint="eastAsia"/>
        </w:rPr>
        <w:t xml:space="preserve">）批准后进行提级。 </w:t>
      </w:r>
    </w:p>
    <w:p w14:paraId="5EC4CF03">
      <w:pPr>
        <w:pStyle w:val="165"/>
      </w:pPr>
      <w:r>
        <w:rPr>
          <w:rFonts w:hint="eastAsia"/>
        </w:rPr>
        <w:t xml:space="preserve">职责清晰、专业性较强的矛盾纠纷，由县（市、区）社会治理综合服务中心分流指派至相关部门或专业调处工作站进行调解。 </w:t>
      </w:r>
    </w:p>
    <w:p w14:paraId="44595155">
      <w:pPr>
        <w:pStyle w:val="165"/>
      </w:pPr>
      <w:r>
        <w:rPr>
          <w:rFonts w:hint="eastAsia"/>
        </w:rPr>
        <w:t xml:space="preserve">对于县（市、区）公安局、法院、信访局等相关部门移送调解的案件，经县（市、区）社会治理综合服务中心审核研判后直接调处或分流指派至相应调解组织进行调解。 </w:t>
      </w:r>
    </w:p>
    <w:p w14:paraId="1A3E6193">
      <w:pPr>
        <w:pStyle w:val="66"/>
        <w:spacing w:before="156" w:after="156"/>
      </w:pPr>
      <w:r>
        <w:rPr>
          <w:rFonts w:hint="eastAsia"/>
        </w:rPr>
        <w:t xml:space="preserve">协同联动 </w:t>
      </w:r>
    </w:p>
    <w:p w14:paraId="040CC49A">
      <w:pPr>
        <w:pStyle w:val="57"/>
        <w:ind w:firstLine="420"/>
        <w:rPr>
          <w:rFonts w:hAnsi="Calibri"/>
        </w:rPr>
      </w:pPr>
      <w:r>
        <w:rPr>
          <w:rFonts w:hint="eastAsia"/>
        </w:rPr>
        <w:t xml:space="preserve">对于复杂、重大、疑难等矛盾纠纷，社会治理综合服务中心应整合各相关部门资源，调度行业性专业性调解组织、个人品牌调解工作室、心理服务、公益组织、仲裁、鉴定、公证等工作力量，开展纠纷个案分析研判、集中会商、联动联调。 </w:t>
      </w:r>
    </w:p>
    <w:p w14:paraId="4E27D09F">
      <w:pPr>
        <w:pStyle w:val="106"/>
        <w:spacing w:before="156" w:after="156"/>
      </w:pPr>
      <w:r>
        <w:rPr>
          <w:rFonts w:hint="eastAsia"/>
        </w:rPr>
        <w:t xml:space="preserve">调解流程 </w:t>
      </w:r>
    </w:p>
    <w:p w14:paraId="3DE1FB52">
      <w:pPr>
        <w:pStyle w:val="66"/>
        <w:spacing w:before="156" w:after="156"/>
      </w:pPr>
      <w:r>
        <w:rPr>
          <w:rFonts w:hint="eastAsia"/>
        </w:rPr>
        <w:t xml:space="preserve">矛盾纠纷分级调处流程图 </w:t>
      </w:r>
    </w:p>
    <w:p w14:paraId="5F755E59">
      <w:pPr>
        <w:pStyle w:val="57"/>
        <w:ind w:firstLine="420"/>
      </w:pPr>
      <w:r>
        <w:rPr>
          <w:rFonts w:hint="eastAsia"/>
        </w:rPr>
        <w:t>县（市、区）社会治理综合服务中心矛盾纠纷调处流程图见图3；</w:t>
      </w:r>
    </w:p>
    <w:p w14:paraId="613CCE6E">
      <w:pPr>
        <w:pStyle w:val="57"/>
        <w:ind w:firstLine="420"/>
      </w:pPr>
      <w:r>
        <w:rPr>
          <w:rFonts w:hint="eastAsia"/>
        </w:rPr>
        <w:t>镇（街道）社会治理综合服务中心矛盾纠纷调处流程图见图4；</w:t>
      </w:r>
    </w:p>
    <w:p w14:paraId="45E2A29C">
      <w:pPr>
        <w:pStyle w:val="57"/>
        <w:ind w:firstLine="420"/>
        <w:rPr>
          <w:rFonts w:ascii="仿宋_GB2312" w:eastAsia="仿宋_GB2312"/>
          <w:color w:val="000000"/>
          <w:kern w:val="0"/>
          <w:sz w:val="28"/>
          <w:szCs w:val="28"/>
        </w:rPr>
      </w:pPr>
      <w:r>
        <w:rPr>
          <w:rFonts w:hint="eastAsia"/>
        </w:rPr>
        <w:t>村（社区）综治中心矛盾纠纷调处流程图见图5；</w:t>
      </w:r>
    </w:p>
    <w:p w14:paraId="13706F85">
      <w:pPr>
        <w:spacing w:line="240" w:lineRule="auto"/>
        <w:jc w:val="center"/>
        <w:rPr>
          <w:rFonts w:hint="eastAsia" w:eastAsia="宋体"/>
          <w:lang w:eastAsia="zh-CN"/>
        </w:rPr>
      </w:pPr>
      <w:r>
        <w:rPr>
          <w:rFonts w:hint="eastAsia" w:eastAsia="宋体"/>
          <w:lang w:eastAsia="zh-CN"/>
        </w:rPr>
        <w:drawing>
          <wp:inline distT="0" distB="0" distL="114300" distR="114300">
            <wp:extent cx="3369310" cy="3020695"/>
            <wp:effectExtent l="0" t="0" r="13970" b="1206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18"/>
                    <a:stretch>
                      <a:fillRect/>
                    </a:stretch>
                  </pic:blipFill>
                  <pic:spPr>
                    <a:xfrm>
                      <a:off x="0" y="0"/>
                      <a:ext cx="3369310" cy="3020695"/>
                    </a:xfrm>
                    <a:prstGeom prst="rect">
                      <a:avLst/>
                    </a:prstGeom>
                  </pic:spPr>
                </pic:pic>
              </a:graphicData>
            </a:graphic>
          </wp:inline>
        </w:drawing>
      </w:r>
    </w:p>
    <w:p w14:paraId="4E7F93FF">
      <w:pPr>
        <w:spacing w:line="240" w:lineRule="auto"/>
        <w:jc w:val="center"/>
      </w:pPr>
    </w:p>
    <w:p w14:paraId="475A32D5">
      <w:pPr>
        <w:pStyle w:val="115"/>
        <w:spacing w:before="156" w:after="156"/>
      </w:pPr>
      <w:r>
        <w:rPr>
          <w:rFonts w:hint="eastAsia"/>
        </w:rPr>
        <w:t>县（市、区）社会治理综合服务中心矛盾纠纷调处流程图</w:t>
      </w:r>
    </w:p>
    <w:p w14:paraId="15757D8B">
      <w:pPr>
        <w:spacing w:line="240" w:lineRule="auto"/>
        <w:jc w:val="center"/>
        <w:rPr>
          <w:rFonts w:hint="eastAsia" w:eastAsia="宋体"/>
          <w:lang w:eastAsia="zh-CN"/>
        </w:rPr>
      </w:pPr>
      <w:r>
        <w:rPr>
          <w:rFonts w:hint="eastAsia" w:eastAsia="宋体"/>
          <w:lang w:eastAsia="zh-CN"/>
        </w:rPr>
        <w:drawing>
          <wp:inline distT="0" distB="0" distL="114300" distR="114300">
            <wp:extent cx="3754120" cy="3168650"/>
            <wp:effectExtent l="0" t="0" r="10160" b="1270"/>
            <wp:docPr id="7"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
                    <pic:cNvPicPr>
                      <a:picLocks noChangeAspect="1"/>
                    </pic:cNvPicPr>
                  </pic:nvPicPr>
                  <pic:blipFill>
                    <a:blip r:embed="rId19"/>
                    <a:stretch>
                      <a:fillRect/>
                    </a:stretch>
                  </pic:blipFill>
                  <pic:spPr>
                    <a:xfrm>
                      <a:off x="0" y="0"/>
                      <a:ext cx="3754120" cy="3168650"/>
                    </a:xfrm>
                    <a:prstGeom prst="rect">
                      <a:avLst/>
                    </a:prstGeom>
                  </pic:spPr>
                </pic:pic>
              </a:graphicData>
            </a:graphic>
          </wp:inline>
        </w:drawing>
      </w:r>
    </w:p>
    <w:p w14:paraId="0963F5E1">
      <w:pPr>
        <w:spacing w:line="240" w:lineRule="auto"/>
        <w:jc w:val="center"/>
      </w:pPr>
    </w:p>
    <w:p w14:paraId="51AD9A53">
      <w:pPr>
        <w:spacing w:line="240" w:lineRule="auto"/>
        <w:jc w:val="both"/>
      </w:pPr>
    </w:p>
    <w:p w14:paraId="72B724EA">
      <w:pPr>
        <w:pStyle w:val="115"/>
        <w:spacing w:before="156" w:after="156"/>
      </w:pPr>
      <w:r>
        <w:rPr>
          <w:rFonts w:hint="eastAsia"/>
        </w:rPr>
        <w:t>镇（街道）社会治理综合服务中心矛盾纠纷调处流程图</w:t>
      </w:r>
    </w:p>
    <w:p w14:paraId="1CDBF91A">
      <w:pPr>
        <w:spacing w:line="240" w:lineRule="auto"/>
        <w:jc w:val="center"/>
      </w:pPr>
    </w:p>
    <w:p w14:paraId="36B1F393">
      <w:pPr>
        <w:spacing w:line="240" w:lineRule="auto"/>
        <w:jc w:val="center"/>
      </w:pPr>
    </w:p>
    <w:p w14:paraId="5C19BE05">
      <w:pPr>
        <w:spacing w:line="240" w:lineRule="auto"/>
        <w:jc w:val="center"/>
      </w:pPr>
    </w:p>
    <w:p w14:paraId="2BEBE9FA">
      <w:pPr>
        <w:spacing w:line="240" w:lineRule="auto"/>
        <w:jc w:val="center"/>
        <w:rPr>
          <w:rFonts w:hint="eastAsia" w:eastAsia="宋体"/>
          <w:lang w:eastAsia="zh-CN"/>
        </w:rPr>
      </w:pPr>
      <w:r>
        <w:rPr>
          <w:rFonts w:hint="eastAsia" w:eastAsia="宋体"/>
          <w:lang w:eastAsia="zh-CN"/>
        </w:rPr>
        <w:drawing>
          <wp:inline distT="0" distB="0" distL="114300" distR="114300">
            <wp:extent cx="3063240" cy="2980055"/>
            <wp:effectExtent l="0" t="0" r="0" b="6985"/>
            <wp:docPr id="9" name="图片 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
                    <pic:cNvPicPr>
                      <a:picLocks noChangeAspect="1"/>
                    </pic:cNvPicPr>
                  </pic:nvPicPr>
                  <pic:blipFill>
                    <a:blip r:embed="rId20"/>
                    <a:stretch>
                      <a:fillRect/>
                    </a:stretch>
                  </pic:blipFill>
                  <pic:spPr>
                    <a:xfrm>
                      <a:off x="0" y="0"/>
                      <a:ext cx="3063240" cy="2980055"/>
                    </a:xfrm>
                    <a:prstGeom prst="rect">
                      <a:avLst/>
                    </a:prstGeom>
                  </pic:spPr>
                </pic:pic>
              </a:graphicData>
            </a:graphic>
          </wp:inline>
        </w:drawing>
      </w:r>
    </w:p>
    <w:p w14:paraId="3BF67EB3">
      <w:pPr>
        <w:pStyle w:val="115"/>
        <w:spacing w:before="156" w:after="156"/>
      </w:pPr>
      <w:r>
        <w:rPr>
          <w:rFonts w:hint="eastAsia"/>
        </w:rPr>
        <w:t>村（社区）综治中心矛盾纠纷调处流程图</w:t>
      </w:r>
    </w:p>
    <w:p w14:paraId="30A08C90">
      <w:pPr>
        <w:pStyle w:val="66"/>
        <w:spacing w:before="156" w:after="156"/>
        <w:rPr>
          <w:kern w:val="2"/>
        </w:rPr>
      </w:pPr>
      <w:r>
        <w:rPr>
          <w:rFonts w:hint="eastAsia"/>
        </w:rPr>
        <w:t xml:space="preserve">流程说明 </w:t>
      </w:r>
    </w:p>
    <w:p w14:paraId="6D97CD3B">
      <w:pPr>
        <w:pStyle w:val="165"/>
        <w:rPr>
          <w:rFonts w:hAnsi="Calibri"/>
        </w:rPr>
      </w:pPr>
      <w:r>
        <w:rPr>
          <w:rFonts w:hint="eastAsia"/>
        </w:rPr>
        <w:t xml:space="preserve">各级中心对窗口受理、上级指派、部门移送和下级提交的矛盾纠纷进行审核。 </w:t>
      </w:r>
    </w:p>
    <w:p w14:paraId="59ECF505">
      <w:pPr>
        <w:pStyle w:val="165"/>
      </w:pPr>
      <w:r>
        <w:rPr>
          <w:rFonts w:hint="eastAsia"/>
        </w:rPr>
        <w:t xml:space="preserve">经审核认为不适宜本中心调解的矛盾纠纷，应向当事人解释告知并引导至其他途径解决，或退回相关单位并说明理由。 </w:t>
      </w:r>
    </w:p>
    <w:p w14:paraId="616C3B2E">
      <w:pPr>
        <w:pStyle w:val="165"/>
      </w:pPr>
      <w:r>
        <w:rPr>
          <w:rFonts w:hint="eastAsia"/>
        </w:rPr>
        <w:t xml:space="preserve">可以调解的，根据纠纷发生地、纠纷性质、当事人住所地等综合情况，进行直接调处或者分流至相关单位办理。 </w:t>
      </w:r>
    </w:p>
    <w:p w14:paraId="0D80661E">
      <w:pPr>
        <w:pStyle w:val="165"/>
        <w:rPr>
          <w:kern w:val="2"/>
        </w:rPr>
      </w:pPr>
      <w:r>
        <w:rPr>
          <w:rFonts w:hint="eastAsia"/>
        </w:rPr>
        <w:t xml:space="preserve">跨区域、跨职能、跨层级的矛盾纠纷，应当由社会治理综合服务中心牵头组织调解。 </w:t>
      </w:r>
    </w:p>
    <w:p w14:paraId="7E59AE40">
      <w:pPr>
        <w:pStyle w:val="165"/>
      </w:pPr>
      <w:r>
        <w:rPr>
          <w:rFonts w:hint="eastAsia"/>
        </w:rPr>
        <w:t xml:space="preserve">调解成功的事项应当引导当事人进入司法确认程序。 </w:t>
      </w:r>
    </w:p>
    <w:p w14:paraId="0B4B1AD6">
      <w:pPr>
        <w:pStyle w:val="165"/>
      </w:pPr>
      <w:r>
        <w:rPr>
          <w:rFonts w:hint="eastAsia"/>
        </w:rPr>
        <w:t>调解不成功的，如当事人直接来访的，引导当事人采取其他合法途径解决争议，如系部门移送、上级指派和下级提级的，将调解结果反馈至相关部门。</w:t>
      </w:r>
    </w:p>
    <w:p w14:paraId="6A4377DE">
      <w:pPr>
        <w:pStyle w:val="165"/>
      </w:pPr>
      <w:r>
        <w:rPr>
          <w:rFonts w:hint="eastAsia"/>
        </w:rPr>
        <w:t>调解程序终结后，应及时结案归档。</w:t>
      </w:r>
    </w:p>
    <w:p w14:paraId="472D3671">
      <w:pPr>
        <w:pStyle w:val="105"/>
        <w:spacing w:before="312" w:after="312"/>
      </w:pPr>
      <w:bookmarkStart w:id="51" w:name="_Toc159507851"/>
      <w:r>
        <w:rPr>
          <w:rFonts w:hint="eastAsia"/>
        </w:rPr>
        <w:t>日常管理</w:t>
      </w:r>
      <w:bookmarkEnd w:id="51"/>
    </w:p>
    <w:p w14:paraId="03B3190C">
      <w:pPr>
        <w:pStyle w:val="106"/>
        <w:spacing w:before="156" w:after="156"/>
      </w:pPr>
      <w:r>
        <w:rPr>
          <w:rFonts w:hint="eastAsia"/>
        </w:rPr>
        <w:t>人员管理</w:t>
      </w:r>
    </w:p>
    <w:p w14:paraId="6F48FB08">
      <w:pPr>
        <w:pStyle w:val="166"/>
        <w:rPr>
          <w:rFonts w:hAnsi="Calibri"/>
        </w:rPr>
      </w:pPr>
      <w:r>
        <w:rPr>
          <w:rFonts w:hint="eastAsia"/>
        </w:rPr>
        <w:t>各级中心应根据功能设置相应岗位，并明确岗位职责。每个岗位应配备至少1名以上符合岗位要求的工作人员。应严格执行工作人员任职聘用要求、岗位职责、规范管理等，定期开展各类业务知识、技能培训。</w:t>
      </w:r>
    </w:p>
    <w:p w14:paraId="65B432D3">
      <w:pPr>
        <w:pStyle w:val="166"/>
      </w:pPr>
      <w:r>
        <w:rPr>
          <w:rFonts w:hint="eastAsia"/>
        </w:rPr>
        <w:t>各级中心的派驻单位或部门应各司其职、密切协作，充分发挥职能作用，共同做好矛盾纠纷多元化解各项工作。</w:t>
      </w:r>
    </w:p>
    <w:p w14:paraId="380D8E15">
      <w:pPr>
        <w:pStyle w:val="166"/>
      </w:pPr>
      <w:r>
        <w:rPr>
          <w:rFonts w:hint="eastAsia"/>
        </w:rPr>
        <w:t>各派驻单位工作人员原行政隶属关系不变，派驻工作期间实行双重管理考核机制，由本级社会治理综合服务中心实行统一领导、统一要求、统一管理、统一调度。</w:t>
      </w:r>
    </w:p>
    <w:p w14:paraId="2749B65C">
      <w:pPr>
        <w:pStyle w:val="106"/>
        <w:spacing w:before="156" w:after="156"/>
      </w:pPr>
      <w:r>
        <w:rPr>
          <w:rFonts w:hint="eastAsia"/>
        </w:rPr>
        <w:t>经费保障</w:t>
      </w:r>
    </w:p>
    <w:p w14:paraId="3EBE9B5E">
      <w:pPr>
        <w:pStyle w:val="166"/>
        <w:rPr>
          <w:rFonts w:hAnsi="Calibri"/>
        </w:rPr>
      </w:pPr>
      <w:r>
        <w:rPr>
          <w:rFonts w:hint="eastAsia"/>
        </w:rPr>
        <w:t>各级人民政府及其财政部门应根据矛盾纠纷多元化解“一站式”平台建设运行需要，结合各地场所设施、信息化建设、运行要求、日常管理等实际合理确定建设运行经费，并纳入同级财政预算，保证各级社会治理综合服务中心的建设、运行等工作顺利开展。</w:t>
      </w:r>
    </w:p>
    <w:p w14:paraId="7A2A0563">
      <w:pPr>
        <w:pStyle w:val="166"/>
      </w:pPr>
      <w:r>
        <w:rPr>
          <w:rFonts w:hint="eastAsia"/>
        </w:rPr>
        <w:t>各级社会治理综合服务中心专兼职调解员工作经费应纳入同级财政预算。各地根据经济社会发展状况和调解工作实际需要，建立健全调解员工作、调解案件奖补等经费动态调整机制。</w:t>
      </w:r>
    </w:p>
    <w:p w14:paraId="11B9974E">
      <w:pPr>
        <w:pStyle w:val="106"/>
        <w:spacing w:before="156" w:after="156"/>
      </w:pPr>
      <w:r>
        <w:rPr>
          <w:rFonts w:hint="eastAsia"/>
        </w:rPr>
        <w:t>制度机制</w:t>
      </w:r>
    </w:p>
    <w:p w14:paraId="67E8C996">
      <w:pPr>
        <w:pStyle w:val="57"/>
        <w:ind w:firstLine="420"/>
        <w:rPr>
          <w:rFonts w:hAnsi="Calibri"/>
        </w:rPr>
      </w:pPr>
      <w:r>
        <w:rPr>
          <w:rFonts w:hint="eastAsia"/>
        </w:rPr>
        <w:t>各级中心应建立健全首问负责、即接即办、工作例会、情况报告、会商研判、应急联动、协作配合及考核管理等机制，优化内部流程，形成工作闭环。</w:t>
      </w:r>
    </w:p>
    <w:p w14:paraId="30C82A7D">
      <w:pPr>
        <w:pStyle w:val="66"/>
        <w:spacing w:before="156" w:after="156"/>
      </w:pPr>
      <w:r>
        <w:rPr>
          <w:rFonts w:hint="eastAsia"/>
        </w:rPr>
        <w:t>首问负责</w:t>
      </w:r>
    </w:p>
    <w:p w14:paraId="6433F3B4">
      <w:pPr>
        <w:pStyle w:val="57"/>
        <w:ind w:firstLine="420"/>
        <w:rPr>
          <w:rFonts w:hAnsi="Calibri"/>
        </w:rPr>
      </w:pPr>
      <w:r>
        <w:rPr>
          <w:rFonts w:hint="eastAsia"/>
        </w:rPr>
        <w:t>各级中心办公人员、值班人员均为首问责任人，对群众反映的诉求事项，应第一时间登记，按照程序引导解决；对发现的不稳定信息和重要情况应及时报告，对突发事件应积极参与处置。</w:t>
      </w:r>
    </w:p>
    <w:p w14:paraId="279D6243">
      <w:pPr>
        <w:pStyle w:val="66"/>
        <w:spacing w:before="156" w:after="156"/>
      </w:pPr>
      <w:r>
        <w:rPr>
          <w:rFonts w:hint="eastAsia"/>
        </w:rPr>
        <w:t>工作例会</w:t>
      </w:r>
    </w:p>
    <w:p w14:paraId="0B64C026">
      <w:pPr>
        <w:pStyle w:val="57"/>
        <w:ind w:firstLine="420"/>
        <w:rPr>
          <w:rFonts w:hAnsi="Calibri"/>
        </w:rPr>
      </w:pPr>
      <w:r>
        <w:rPr>
          <w:rFonts w:hint="eastAsia"/>
        </w:rPr>
        <w:t>应定期召开各派驻单位或部门参加的工作例会，分析研判辖区内矛盾纠纷排查化解形势，协调解决重要事项。特殊情况下，可随时召开调度会或联席会，会议均应形成书面记录，联席会议应以会议纪要形式明确议定事项。</w:t>
      </w:r>
    </w:p>
    <w:p w14:paraId="45A49651">
      <w:pPr>
        <w:pStyle w:val="66"/>
        <w:spacing w:before="156" w:after="156"/>
      </w:pPr>
      <w:r>
        <w:rPr>
          <w:rFonts w:hint="eastAsia"/>
        </w:rPr>
        <w:t>情况报告</w:t>
      </w:r>
    </w:p>
    <w:p w14:paraId="687B4621">
      <w:pPr>
        <w:pStyle w:val="57"/>
        <w:ind w:firstLine="420"/>
        <w:rPr>
          <w:rFonts w:hAnsi="Calibri"/>
        </w:rPr>
      </w:pPr>
      <w:r>
        <w:rPr>
          <w:rFonts w:hint="eastAsia"/>
        </w:rPr>
        <w:t>各</w:t>
      </w:r>
      <w:r>
        <w:rPr>
          <w:rFonts w:hint="eastAsia"/>
          <w:lang w:val="en-US" w:eastAsia="zh-CN"/>
        </w:rPr>
        <w:t>进驻</w:t>
      </w:r>
      <w:r>
        <w:rPr>
          <w:rFonts w:hint="eastAsia"/>
        </w:rPr>
        <w:t>单位应及时向本级中心报告本系统发生的各类重特大案（事）件、工作中排查掌握的矛盾纠纷风险隐患、重点工作完成情况等。镇（街道）中心应定期向</w:t>
      </w:r>
      <w:r>
        <w:rPr>
          <w:rFonts w:hint="eastAsia"/>
          <w:lang w:val="en-US" w:eastAsia="zh-CN"/>
        </w:rPr>
        <w:t>县（市、区）</w:t>
      </w:r>
      <w:r>
        <w:rPr>
          <w:rFonts w:hint="eastAsia"/>
        </w:rPr>
        <w:t>中心和镇（街道）党委、政府报告本地区矛盾纠纷排查化解工作情况、需要协调解决的重大问题等，遇到重大案件、突发事件、紧急情况应随时报告,并及时续报进展情况。县（市、区）中心应对重大案件的处置进行跟踪，根据情况参与案件的协调与调解，或牵头协调相关单位开展联动联调。</w:t>
      </w:r>
    </w:p>
    <w:p w14:paraId="2BC7FCFC">
      <w:pPr>
        <w:pStyle w:val="66"/>
        <w:spacing w:before="156" w:after="156"/>
      </w:pPr>
      <w:r>
        <w:rPr>
          <w:rFonts w:hint="eastAsia"/>
        </w:rPr>
        <w:t xml:space="preserve"> 应急联动</w:t>
      </w:r>
    </w:p>
    <w:p w14:paraId="07DDD164">
      <w:pPr>
        <w:pStyle w:val="57"/>
        <w:ind w:firstLine="420"/>
        <w:rPr>
          <w:rFonts w:hAnsi="Calibri"/>
        </w:rPr>
      </w:pPr>
      <w:r>
        <w:rPr>
          <w:rFonts w:hint="eastAsia"/>
        </w:rPr>
        <w:t>应健全重大突发事件应急处置预案，安排人员24小时值班备勤，遇有重大突发事件，相关领导要迅速进驻指挥，调配辖区相关力量资源，依法妥善处置。</w:t>
      </w:r>
    </w:p>
    <w:p w14:paraId="2A2243B4">
      <w:pPr>
        <w:pStyle w:val="66"/>
        <w:spacing w:before="156" w:after="156"/>
      </w:pPr>
      <w:r>
        <w:rPr>
          <w:rFonts w:hint="eastAsia"/>
        </w:rPr>
        <w:t>考核评价</w:t>
      </w:r>
    </w:p>
    <w:p w14:paraId="6E382A94">
      <w:pPr>
        <w:pStyle w:val="57"/>
        <w:ind w:firstLine="420"/>
        <w:rPr>
          <w:rFonts w:hAnsi="Calibri"/>
        </w:rPr>
      </w:pPr>
      <w:r>
        <w:rPr>
          <w:rFonts w:hint="eastAsia"/>
        </w:rPr>
        <w:t>各级中心负责组织开展辖区内矛盾纠纷多元化解工作考核评价；制定进驻人员管理考核办法，完善调解员管理考核细则，常态化开展业务培训，定期考核评定，强化结果应用。</w:t>
      </w:r>
    </w:p>
    <w:p w14:paraId="76D7E187">
      <w:pPr>
        <w:pStyle w:val="66"/>
        <w:spacing w:before="156" w:after="156"/>
      </w:pPr>
      <w:r>
        <w:rPr>
          <w:rFonts w:hint="eastAsia"/>
        </w:rPr>
        <w:t>档案管理</w:t>
      </w:r>
    </w:p>
    <w:p w14:paraId="57A91AC1">
      <w:pPr>
        <w:pStyle w:val="165"/>
        <w:rPr>
          <w:rFonts w:hAnsi="Calibri"/>
        </w:rPr>
      </w:pPr>
      <w:r>
        <w:rPr>
          <w:rFonts w:hint="eastAsia"/>
        </w:rPr>
        <w:t>应配备档案管理工作人员。</w:t>
      </w:r>
    </w:p>
    <w:p w14:paraId="11CF4D9A">
      <w:pPr>
        <w:pStyle w:val="165"/>
      </w:pPr>
      <w:r>
        <w:rPr>
          <w:rFonts w:hint="eastAsia"/>
        </w:rPr>
        <w:t>应建立社会矛盾纠纷举报、投诉、排</w:t>
      </w:r>
      <w:r>
        <w:rPr>
          <w:rFonts w:hint="eastAsia" w:hAnsi="宋体" w:cs="宋体"/>
        </w:rPr>
        <w:t>査</w:t>
      </w:r>
      <w:r>
        <w:rPr>
          <w:rFonts w:hint="eastAsia" w:hAnsi="仿宋_GB2312" w:cs="仿宋_GB2312"/>
        </w:rPr>
        <w:t>、受理、处置和调解卷宗等档案，档案应确保真实、可靠、完整、可用和安全。</w:t>
      </w:r>
    </w:p>
    <w:p w14:paraId="67633CE7">
      <w:pPr>
        <w:pStyle w:val="165"/>
      </w:pPr>
      <w:r>
        <w:rPr>
          <w:rFonts w:hint="eastAsia"/>
          <w:lang w:val="en-US" w:eastAsia="zh-CN"/>
        </w:rPr>
        <w:t>加强档案管理和应用，严格遵守保护个人隐私、保密等相关规定。</w:t>
      </w:r>
    </w:p>
    <w:p w14:paraId="156E791F">
      <w:pPr>
        <w:pStyle w:val="66"/>
        <w:spacing w:before="156" w:after="156"/>
      </w:pPr>
      <w:r>
        <w:rPr>
          <w:rFonts w:hint="eastAsia"/>
        </w:rPr>
        <w:t>监督与评价</w:t>
      </w:r>
    </w:p>
    <w:p w14:paraId="62CCE76E">
      <w:pPr>
        <w:pStyle w:val="57"/>
        <w:ind w:firstLine="420"/>
        <w:rPr>
          <w:rFonts w:hAnsi="Calibri"/>
        </w:rPr>
      </w:pPr>
      <w:r>
        <w:rPr>
          <w:rFonts w:hint="eastAsia"/>
        </w:rPr>
        <w:t>设立意见反馈与投诉渠道，接受群众监督，接受上级主管部门的监督和指导。</w:t>
      </w:r>
    </w:p>
    <w:bookmarkEnd w:id="22"/>
    <w:p w14:paraId="528345F5">
      <w:pPr>
        <w:pStyle w:val="57"/>
        <w:ind w:firstLine="0" w:firstLineChars="0"/>
        <w:jc w:val="center"/>
      </w:pPr>
      <w:bookmarkStart w:id="52" w:name="BookMark8"/>
      <w:r>
        <w:drawing>
          <wp:inline distT="0" distB="0" distL="0" distR="0">
            <wp:extent cx="1485900" cy="317500"/>
            <wp:effectExtent l="19050" t="0" r="0" b="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21" cstate="print"/>
                    <a:stretch>
                      <a:fillRect/>
                    </a:stretch>
                  </pic:blipFill>
                  <pic:spPr>
                    <a:xfrm>
                      <a:off x="0" y="0"/>
                      <a:ext cx="1485900" cy="317500"/>
                    </a:xfrm>
                    <a:prstGeom prst="rect">
                      <a:avLst/>
                    </a:prstGeom>
                  </pic:spPr>
                </pic:pic>
              </a:graphicData>
            </a:graphic>
          </wp:inline>
        </w:drawing>
      </w:r>
      <w:bookmarkEnd w:id="52"/>
    </w:p>
    <w:sectPr>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A873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9426B">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3E39">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32761">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6ACD">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52E3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8E53B">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48FF">
    <w:pPr>
      <w:pStyle w:val="62"/>
    </w:pPr>
    <w:r>
      <w:fldChar w:fldCharType="begin"/>
    </w:r>
    <w:r>
      <w:instrText xml:space="preserve"> STYLEREF  标准文件_文件编号  \* MERGEFORMAT </w:instrText>
    </w:r>
    <w:r>
      <w:fldChar w:fldCharType="separate"/>
    </w:r>
    <w:r>
      <w:t>DB3206/T —XXXX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1722">
    <w:pPr>
      <w:pStyle w:val="19"/>
      <w:jc w:val="right"/>
      <w:rPr>
        <w:lang w:val="fr-FR"/>
      </w:rPr>
    </w:pPr>
    <w:r>
      <w:fldChar w:fldCharType="begin"/>
    </w:r>
    <w:r>
      <w:instrText xml:space="preserve"> STYLEREF  标准文件_文件编号  \* MERGEFORMAT </w:instrText>
    </w:r>
    <w:r>
      <w:fldChar w:fldCharType="separate"/>
    </w:r>
    <w:r>
      <w:t>DB3206/T —XXXX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709"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attachedTemplate r:id="rId1"/>
  <w:documentProtection w:edit="forms" w:enforcement="1" w:cryptProviderType="rsaFull" w:cryptAlgorithmClass="hash" w:cryptAlgorithmType="typeAny" w:cryptAlgorithmSid="4" w:cryptSpinCount="50000" w:hash="qbZCs3QMzTwtfL/GGhvlVQDocxI=" w:salt="G6XZYJSivWbGBaDMbceiIA=="/>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g0MzA4ZDY0NWQ1NjE4YTA0OWMwYzdjZDE1YzljMzMifQ=="/>
  </w:docVars>
  <w:rsids>
    <w:rsidRoot w:val="00661E2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05C6"/>
    <w:rsid w:val="00113B1E"/>
    <w:rsid w:val="00114796"/>
    <w:rsid w:val="0011711C"/>
    <w:rsid w:val="0012059C"/>
    <w:rsid w:val="00124E4F"/>
    <w:rsid w:val="001260B7"/>
    <w:rsid w:val="001265CB"/>
    <w:rsid w:val="001321C6"/>
    <w:rsid w:val="001325A5"/>
    <w:rsid w:val="001325C4"/>
    <w:rsid w:val="00133010"/>
    <w:rsid w:val="001338EE"/>
    <w:rsid w:val="00133AAE"/>
    <w:rsid w:val="00135323"/>
    <w:rsid w:val="001356C4"/>
    <w:rsid w:val="00141114"/>
    <w:rsid w:val="00142969"/>
    <w:rsid w:val="001446C2"/>
    <w:rsid w:val="0014578A"/>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481D"/>
    <w:rsid w:val="00214A99"/>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6D4"/>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37A3"/>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28F0"/>
    <w:rsid w:val="003B5BF0"/>
    <w:rsid w:val="003B60BF"/>
    <w:rsid w:val="003B6BE3"/>
    <w:rsid w:val="003C010C"/>
    <w:rsid w:val="003C0A6C"/>
    <w:rsid w:val="003C120F"/>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696"/>
    <w:rsid w:val="0041477A"/>
    <w:rsid w:val="004167A3"/>
    <w:rsid w:val="00432DAA"/>
    <w:rsid w:val="00433761"/>
    <w:rsid w:val="00434305"/>
    <w:rsid w:val="00435AB3"/>
    <w:rsid w:val="00435DF7"/>
    <w:rsid w:val="0044083F"/>
    <w:rsid w:val="00441AE7"/>
    <w:rsid w:val="004435D6"/>
    <w:rsid w:val="00445574"/>
    <w:rsid w:val="004467FB"/>
    <w:rsid w:val="00452D6B"/>
    <w:rsid w:val="00454484"/>
    <w:rsid w:val="0045517B"/>
    <w:rsid w:val="00463B77"/>
    <w:rsid w:val="00463C7B"/>
    <w:rsid w:val="004644A6"/>
    <w:rsid w:val="004659BD"/>
    <w:rsid w:val="00470775"/>
    <w:rsid w:val="004746B1"/>
    <w:rsid w:val="0047583F"/>
    <w:rsid w:val="00475DE8"/>
    <w:rsid w:val="0047755E"/>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0647"/>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8CD"/>
    <w:rsid w:val="005039BC"/>
    <w:rsid w:val="005043BB"/>
    <w:rsid w:val="00504A3D"/>
    <w:rsid w:val="00505767"/>
    <w:rsid w:val="005073F0"/>
    <w:rsid w:val="00510A7B"/>
    <w:rsid w:val="00512F6E"/>
    <w:rsid w:val="00513038"/>
    <w:rsid w:val="00514174"/>
    <w:rsid w:val="005148CB"/>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0063"/>
    <w:rsid w:val="00591E27"/>
    <w:rsid w:val="00596160"/>
    <w:rsid w:val="005966E2"/>
    <w:rsid w:val="00597007"/>
    <w:rsid w:val="005A0966"/>
    <w:rsid w:val="005A11B7"/>
    <w:rsid w:val="005A260B"/>
    <w:rsid w:val="005A4A1B"/>
    <w:rsid w:val="005A7830"/>
    <w:rsid w:val="005A7FCE"/>
    <w:rsid w:val="005B0F3F"/>
    <w:rsid w:val="005B2492"/>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E2F"/>
    <w:rsid w:val="006640E5"/>
    <w:rsid w:val="006646F1"/>
    <w:rsid w:val="00664929"/>
    <w:rsid w:val="00664F62"/>
    <w:rsid w:val="006655E1"/>
    <w:rsid w:val="006678B3"/>
    <w:rsid w:val="00672060"/>
    <w:rsid w:val="00672BFD"/>
    <w:rsid w:val="006770F4"/>
    <w:rsid w:val="00677A84"/>
    <w:rsid w:val="0068026D"/>
    <w:rsid w:val="00680A27"/>
    <w:rsid w:val="006816A4"/>
    <w:rsid w:val="006819B8"/>
    <w:rsid w:val="00681CC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612"/>
    <w:rsid w:val="006C1BBA"/>
    <w:rsid w:val="006C2079"/>
    <w:rsid w:val="006C5A62"/>
    <w:rsid w:val="006C5D68"/>
    <w:rsid w:val="006C6976"/>
    <w:rsid w:val="006C6DD0"/>
    <w:rsid w:val="006D04EA"/>
    <w:rsid w:val="006D16C4"/>
    <w:rsid w:val="006D3E96"/>
    <w:rsid w:val="006D4515"/>
    <w:rsid w:val="006D4BB1"/>
    <w:rsid w:val="006D6593"/>
    <w:rsid w:val="006E23EA"/>
    <w:rsid w:val="006F02BD"/>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314"/>
    <w:rsid w:val="00783ECF"/>
    <w:rsid w:val="0078413A"/>
    <w:rsid w:val="007911E9"/>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4983"/>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540"/>
    <w:rsid w:val="008269DD"/>
    <w:rsid w:val="00830621"/>
    <w:rsid w:val="00831DDD"/>
    <w:rsid w:val="0083348C"/>
    <w:rsid w:val="008373D3"/>
    <w:rsid w:val="00840617"/>
    <w:rsid w:val="00840F84"/>
    <w:rsid w:val="00842A47"/>
    <w:rsid w:val="00843C13"/>
    <w:rsid w:val="008454F8"/>
    <w:rsid w:val="0085173A"/>
    <w:rsid w:val="0085207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4A2"/>
    <w:rsid w:val="00902722"/>
    <w:rsid w:val="009027BC"/>
    <w:rsid w:val="009062E6"/>
    <w:rsid w:val="00911BE5"/>
    <w:rsid w:val="00913CA9"/>
    <w:rsid w:val="009145AE"/>
    <w:rsid w:val="009146CE"/>
    <w:rsid w:val="00914CA7"/>
    <w:rsid w:val="00915C3E"/>
    <w:rsid w:val="009161A8"/>
    <w:rsid w:val="009244D2"/>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F85"/>
    <w:rsid w:val="009C4CFA"/>
    <w:rsid w:val="009C5070"/>
    <w:rsid w:val="009D112C"/>
    <w:rsid w:val="009D3C74"/>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67B73"/>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5DCA"/>
    <w:rsid w:val="00B21F61"/>
    <w:rsid w:val="00B261F1"/>
    <w:rsid w:val="00B265BC"/>
    <w:rsid w:val="00B307A0"/>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843"/>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2D"/>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4EC"/>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4A71"/>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806"/>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133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08C"/>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587D20"/>
    <w:rsid w:val="01794853"/>
    <w:rsid w:val="018D1EF6"/>
    <w:rsid w:val="01E772A7"/>
    <w:rsid w:val="02226CBC"/>
    <w:rsid w:val="02391020"/>
    <w:rsid w:val="0273635F"/>
    <w:rsid w:val="02C637E1"/>
    <w:rsid w:val="02DB6B5E"/>
    <w:rsid w:val="030D78B4"/>
    <w:rsid w:val="031810C9"/>
    <w:rsid w:val="0397575E"/>
    <w:rsid w:val="05211085"/>
    <w:rsid w:val="053008CA"/>
    <w:rsid w:val="05882D65"/>
    <w:rsid w:val="05BC001D"/>
    <w:rsid w:val="06D36EDF"/>
    <w:rsid w:val="07794418"/>
    <w:rsid w:val="07F95559"/>
    <w:rsid w:val="08324DE7"/>
    <w:rsid w:val="08532E26"/>
    <w:rsid w:val="085404EC"/>
    <w:rsid w:val="08B83F53"/>
    <w:rsid w:val="098E7E1B"/>
    <w:rsid w:val="09F4422A"/>
    <w:rsid w:val="0A794DC8"/>
    <w:rsid w:val="0AB94693"/>
    <w:rsid w:val="0B127C12"/>
    <w:rsid w:val="0B53768A"/>
    <w:rsid w:val="0C5114BF"/>
    <w:rsid w:val="0D377F50"/>
    <w:rsid w:val="0D38242C"/>
    <w:rsid w:val="0D58124A"/>
    <w:rsid w:val="0DDA75B6"/>
    <w:rsid w:val="0E1E7AC7"/>
    <w:rsid w:val="0EB77504"/>
    <w:rsid w:val="0F9022FF"/>
    <w:rsid w:val="0FDD2BDC"/>
    <w:rsid w:val="0FED7687"/>
    <w:rsid w:val="103F1BE0"/>
    <w:rsid w:val="1066090C"/>
    <w:rsid w:val="10A560DD"/>
    <w:rsid w:val="111B199E"/>
    <w:rsid w:val="11E04300"/>
    <w:rsid w:val="12402EDC"/>
    <w:rsid w:val="12B55EEF"/>
    <w:rsid w:val="12C34799"/>
    <w:rsid w:val="12CB76BD"/>
    <w:rsid w:val="12DC3AAD"/>
    <w:rsid w:val="13275AD4"/>
    <w:rsid w:val="13350A2C"/>
    <w:rsid w:val="14900BDD"/>
    <w:rsid w:val="14973315"/>
    <w:rsid w:val="156E2F76"/>
    <w:rsid w:val="158F198F"/>
    <w:rsid w:val="15F9112A"/>
    <w:rsid w:val="17127A9D"/>
    <w:rsid w:val="174F7937"/>
    <w:rsid w:val="17816D45"/>
    <w:rsid w:val="17BD1490"/>
    <w:rsid w:val="17BE3F72"/>
    <w:rsid w:val="17C90AA4"/>
    <w:rsid w:val="183F2B14"/>
    <w:rsid w:val="18785BEF"/>
    <w:rsid w:val="19021497"/>
    <w:rsid w:val="19042DBF"/>
    <w:rsid w:val="19447D23"/>
    <w:rsid w:val="198F499F"/>
    <w:rsid w:val="19C10B67"/>
    <w:rsid w:val="1A435C2A"/>
    <w:rsid w:val="1A5E504E"/>
    <w:rsid w:val="1AE856E5"/>
    <w:rsid w:val="1B6805D3"/>
    <w:rsid w:val="1C427A2B"/>
    <w:rsid w:val="1C6074FD"/>
    <w:rsid w:val="1CA019C3"/>
    <w:rsid w:val="1CB07445"/>
    <w:rsid w:val="1CFE2A48"/>
    <w:rsid w:val="1D9823E8"/>
    <w:rsid w:val="1DE77CD7"/>
    <w:rsid w:val="1DED68D3"/>
    <w:rsid w:val="1E1B36DB"/>
    <w:rsid w:val="1F775289"/>
    <w:rsid w:val="1F952318"/>
    <w:rsid w:val="1FBB4635"/>
    <w:rsid w:val="1FCF4ADF"/>
    <w:rsid w:val="205B3198"/>
    <w:rsid w:val="20DB1848"/>
    <w:rsid w:val="215F3A04"/>
    <w:rsid w:val="217A4612"/>
    <w:rsid w:val="21E12E8E"/>
    <w:rsid w:val="21E464DA"/>
    <w:rsid w:val="229C0CB6"/>
    <w:rsid w:val="231A51D5"/>
    <w:rsid w:val="23B76588"/>
    <w:rsid w:val="23FF3674"/>
    <w:rsid w:val="24162237"/>
    <w:rsid w:val="24D52A7D"/>
    <w:rsid w:val="255045B2"/>
    <w:rsid w:val="25F767DC"/>
    <w:rsid w:val="269C765D"/>
    <w:rsid w:val="26B24DF9"/>
    <w:rsid w:val="26E77081"/>
    <w:rsid w:val="27035654"/>
    <w:rsid w:val="271D5EDF"/>
    <w:rsid w:val="27571DA2"/>
    <w:rsid w:val="27E25FF9"/>
    <w:rsid w:val="29467103"/>
    <w:rsid w:val="29833060"/>
    <w:rsid w:val="29F83587"/>
    <w:rsid w:val="2A2B114A"/>
    <w:rsid w:val="2ACF4CD1"/>
    <w:rsid w:val="2CDE6947"/>
    <w:rsid w:val="2D0068BE"/>
    <w:rsid w:val="2D151838"/>
    <w:rsid w:val="2DC626C9"/>
    <w:rsid w:val="2EBD433B"/>
    <w:rsid w:val="2ED10E9E"/>
    <w:rsid w:val="2EE325C2"/>
    <w:rsid w:val="301E28E0"/>
    <w:rsid w:val="303573BC"/>
    <w:rsid w:val="3038011D"/>
    <w:rsid w:val="303C2E9C"/>
    <w:rsid w:val="30CC59E1"/>
    <w:rsid w:val="30DC13F0"/>
    <w:rsid w:val="31467938"/>
    <w:rsid w:val="314F0184"/>
    <w:rsid w:val="3192385D"/>
    <w:rsid w:val="31BF7022"/>
    <w:rsid w:val="31C47748"/>
    <w:rsid w:val="328B1A7D"/>
    <w:rsid w:val="331C078C"/>
    <w:rsid w:val="332C38F0"/>
    <w:rsid w:val="335311D1"/>
    <w:rsid w:val="341E64D3"/>
    <w:rsid w:val="353D61D5"/>
    <w:rsid w:val="35E7360C"/>
    <w:rsid w:val="36394061"/>
    <w:rsid w:val="36675574"/>
    <w:rsid w:val="36767BF1"/>
    <w:rsid w:val="36CF1672"/>
    <w:rsid w:val="37672BEA"/>
    <w:rsid w:val="3781113B"/>
    <w:rsid w:val="37867757"/>
    <w:rsid w:val="379E29EC"/>
    <w:rsid w:val="37C75AC1"/>
    <w:rsid w:val="37CB7AC8"/>
    <w:rsid w:val="37CF4F05"/>
    <w:rsid w:val="37FE39FA"/>
    <w:rsid w:val="38943BDA"/>
    <w:rsid w:val="38EF6DE0"/>
    <w:rsid w:val="391E1E7A"/>
    <w:rsid w:val="39A20CFD"/>
    <w:rsid w:val="3A2B0C9B"/>
    <w:rsid w:val="3A7E7074"/>
    <w:rsid w:val="3B033C77"/>
    <w:rsid w:val="3B8701AA"/>
    <w:rsid w:val="3C0D27CF"/>
    <w:rsid w:val="3C5B2109"/>
    <w:rsid w:val="3D051665"/>
    <w:rsid w:val="3DCB024B"/>
    <w:rsid w:val="3E42660A"/>
    <w:rsid w:val="3EBF086E"/>
    <w:rsid w:val="3EDF3E59"/>
    <w:rsid w:val="40381A73"/>
    <w:rsid w:val="40A652B3"/>
    <w:rsid w:val="40CC4C3A"/>
    <w:rsid w:val="40FC030E"/>
    <w:rsid w:val="41967399"/>
    <w:rsid w:val="419E624E"/>
    <w:rsid w:val="41CB669E"/>
    <w:rsid w:val="4205007B"/>
    <w:rsid w:val="42132798"/>
    <w:rsid w:val="42666007"/>
    <w:rsid w:val="427E6FEB"/>
    <w:rsid w:val="429B1A66"/>
    <w:rsid w:val="43210EE4"/>
    <w:rsid w:val="439F58D9"/>
    <w:rsid w:val="44091E87"/>
    <w:rsid w:val="44D31C9D"/>
    <w:rsid w:val="44D96091"/>
    <w:rsid w:val="451172DF"/>
    <w:rsid w:val="45C444FC"/>
    <w:rsid w:val="46202FBB"/>
    <w:rsid w:val="464C44CA"/>
    <w:rsid w:val="46BF44A8"/>
    <w:rsid w:val="46C502D2"/>
    <w:rsid w:val="46F7636C"/>
    <w:rsid w:val="478234F8"/>
    <w:rsid w:val="47994980"/>
    <w:rsid w:val="47A34170"/>
    <w:rsid w:val="47AA3864"/>
    <w:rsid w:val="47AB0ABF"/>
    <w:rsid w:val="47DD66CD"/>
    <w:rsid w:val="48074B4D"/>
    <w:rsid w:val="48BB02E3"/>
    <w:rsid w:val="49507FDA"/>
    <w:rsid w:val="498E3281"/>
    <w:rsid w:val="49C8030C"/>
    <w:rsid w:val="4A0B12D4"/>
    <w:rsid w:val="4AD90602"/>
    <w:rsid w:val="4AF018C8"/>
    <w:rsid w:val="4B1B57E9"/>
    <w:rsid w:val="4BCA5A3B"/>
    <w:rsid w:val="4BED2A7E"/>
    <w:rsid w:val="4C043A50"/>
    <w:rsid w:val="4C1772C8"/>
    <w:rsid w:val="4C455C43"/>
    <w:rsid w:val="4C61656D"/>
    <w:rsid w:val="4CC34DBA"/>
    <w:rsid w:val="4E356D70"/>
    <w:rsid w:val="4E636855"/>
    <w:rsid w:val="4F102BE2"/>
    <w:rsid w:val="4F11546E"/>
    <w:rsid w:val="502F2A4C"/>
    <w:rsid w:val="50AF5D81"/>
    <w:rsid w:val="51AA2ADF"/>
    <w:rsid w:val="51BB651D"/>
    <w:rsid w:val="51DE5DEA"/>
    <w:rsid w:val="52477846"/>
    <w:rsid w:val="52666914"/>
    <w:rsid w:val="53B316E5"/>
    <w:rsid w:val="53F36F74"/>
    <w:rsid w:val="54176CCD"/>
    <w:rsid w:val="546D719C"/>
    <w:rsid w:val="547E1046"/>
    <w:rsid w:val="54897AB8"/>
    <w:rsid w:val="54C47921"/>
    <w:rsid w:val="54D326B0"/>
    <w:rsid w:val="552D20B3"/>
    <w:rsid w:val="554B70C2"/>
    <w:rsid w:val="5555186E"/>
    <w:rsid w:val="56700F0E"/>
    <w:rsid w:val="572442E9"/>
    <w:rsid w:val="57325016"/>
    <w:rsid w:val="576F06C9"/>
    <w:rsid w:val="578C3E5D"/>
    <w:rsid w:val="57B56C2F"/>
    <w:rsid w:val="57F23B91"/>
    <w:rsid w:val="582330AF"/>
    <w:rsid w:val="58845D45"/>
    <w:rsid w:val="58A9755A"/>
    <w:rsid w:val="591272B2"/>
    <w:rsid w:val="59246BE1"/>
    <w:rsid w:val="59442E3E"/>
    <w:rsid w:val="5A164B12"/>
    <w:rsid w:val="5A7125E6"/>
    <w:rsid w:val="5ABC7019"/>
    <w:rsid w:val="5AC11211"/>
    <w:rsid w:val="5AD1080E"/>
    <w:rsid w:val="5ADB7D78"/>
    <w:rsid w:val="5BD34611"/>
    <w:rsid w:val="5CE648D9"/>
    <w:rsid w:val="5CE874A5"/>
    <w:rsid w:val="5D641D7E"/>
    <w:rsid w:val="5D72612A"/>
    <w:rsid w:val="5D7E181B"/>
    <w:rsid w:val="5D9E058D"/>
    <w:rsid w:val="5DEF3C61"/>
    <w:rsid w:val="5E2A3FA3"/>
    <w:rsid w:val="5F0E10DF"/>
    <w:rsid w:val="5FA92BDF"/>
    <w:rsid w:val="5FB4212C"/>
    <w:rsid w:val="601775DF"/>
    <w:rsid w:val="61A23E0F"/>
    <w:rsid w:val="61F91F3B"/>
    <w:rsid w:val="620329D6"/>
    <w:rsid w:val="62B45F2D"/>
    <w:rsid w:val="62C04A05"/>
    <w:rsid w:val="62E83B63"/>
    <w:rsid w:val="633459B9"/>
    <w:rsid w:val="63CC7DF9"/>
    <w:rsid w:val="640E5323"/>
    <w:rsid w:val="641461CF"/>
    <w:rsid w:val="648A6492"/>
    <w:rsid w:val="649B10C0"/>
    <w:rsid w:val="64CE1BE4"/>
    <w:rsid w:val="64DA2C7F"/>
    <w:rsid w:val="65064151"/>
    <w:rsid w:val="65931305"/>
    <w:rsid w:val="665703BC"/>
    <w:rsid w:val="667C1D7B"/>
    <w:rsid w:val="676F196F"/>
    <w:rsid w:val="67EC599B"/>
    <w:rsid w:val="6856022F"/>
    <w:rsid w:val="686E3B2C"/>
    <w:rsid w:val="68CE106D"/>
    <w:rsid w:val="691F232A"/>
    <w:rsid w:val="692017AF"/>
    <w:rsid w:val="69245E81"/>
    <w:rsid w:val="69592C84"/>
    <w:rsid w:val="6960564D"/>
    <w:rsid w:val="69AB4284"/>
    <w:rsid w:val="69E26CF8"/>
    <w:rsid w:val="6A9B4D03"/>
    <w:rsid w:val="6BE84077"/>
    <w:rsid w:val="6C9C4317"/>
    <w:rsid w:val="6CD117BF"/>
    <w:rsid w:val="6CD5582D"/>
    <w:rsid w:val="6D17325F"/>
    <w:rsid w:val="6D1F321F"/>
    <w:rsid w:val="6DD355A2"/>
    <w:rsid w:val="6F2D6397"/>
    <w:rsid w:val="6F5516B4"/>
    <w:rsid w:val="6FD531DD"/>
    <w:rsid w:val="6FF15C49"/>
    <w:rsid w:val="70543ACA"/>
    <w:rsid w:val="70607777"/>
    <w:rsid w:val="7081017C"/>
    <w:rsid w:val="710F044A"/>
    <w:rsid w:val="717B3F21"/>
    <w:rsid w:val="71D30E94"/>
    <w:rsid w:val="71FA364F"/>
    <w:rsid w:val="726D7490"/>
    <w:rsid w:val="72C8585B"/>
    <w:rsid w:val="73543A9A"/>
    <w:rsid w:val="7368538E"/>
    <w:rsid w:val="738239FA"/>
    <w:rsid w:val="73C86097"/>
    <w:rsid w:val="745E567C"/>
    <w:rsid w:val="74761F57"/>
    <w:rsid w:val="74AC503E"/>
    <w:rsid w:val="75A37E1D"/>
    <w:rsid w:val="75E726D1"/>
    <w:rsid w:val="763B583E"/>
    <w:rsid w:val="76760624"/>
    <w:rsid w:val="76AB6DEC"/>
    <w:rsid w:val="76B42C1D"/>
    <w:rsid w:val="77731D09"/>
    <w:rsid w:val="78451793"/>
    <w:rsid w:val="7875580A"/>
    <w:rsid w:val="78866B18"/>
    <w:rsid w:val="78E005B3"/>
    <w:rsid w:val="79762F27"/>
    <w:rsid w:val="7A2465E9"/>
    <w:rsid w:val="7A481006"/>
    <w:rsid w:val="7A5416D8"/>
    <w:rsid w:val="7A9149E2"/>
    <w:rsid w:val="7B193C74"/>
    <w:rsid w:val="7B4823D6"/>
    <w:rsid w:val="7B901215"/>
    <w:rsid w:val="7BDB29A1"/>
    <w:rsid w:val="7BDF0A19"/>
    <w:rsid w:val="7C0E1ABD"/>
    <w:rsid w:val="7C1C7EBF"/>
    <w:rsid w:val="7C584880"/>
    <w:rsid w:val="7C7E7CDC"/>
    <w:rsid w:val="7C80289C"/>
    <w:rsid w:val="7CC23C4F"/>
    <w:rsid w:val="7D2F45E8"/>
    <w:rsid w:val="7D800764"/>
    <w:rsid w:val="7DB051E5"/>
    <w:rsid w:val="7E8F4979"/>
    <w:rsid w:val="7EA67F14"/>
    <w:rsid w:val="7EDB2C30"/>
    <w:rsid w:val="7F1D601A"/>
    <w:rsid w:val="7F6C7A6B"/>
    <w:rsid w:val="7FA86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link w:val="232"/>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Char"/>
    <w:basedOn w:val="29"/>
    <w:link w:val="13"/>
    <w:semiHidden/>
    <w:qFormat/>
    <w:uiPriority w:val="99"/>
    <w:rPr>
      <w:rFonts w:ascii="宋体"/>
      <w:kern w:val="2"/>
      <w:sz w:val="18"/>
      <w:szCs w:val="18"/>
    </w:rPr>
  </w:style>
  <w:style w:type="character" w:customStyle="1" w:styleId="232">
    <w:name w:val="标准文件_标准正文 Char"/>
    <w:link w:val="56"/>
    <w:qFormat/>
    <w:uiPriority w:val="0"/>
    <w:rPr>
      <w:kern w:val="0"/>
    </w:rPr>
  </w:style>
  <w:style w:type="paragraph" w:customStyle="1" w:styleId="23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4">
    <w:name w:val="正文文本1"/>
    <w:basedOn w:val="1"/>
    <w:qFormat/>
    <w:uiPriority w:val="99"/>
    <w:pPr>
      <w:shd w:val="clear" w:color="auto" w:fill="FFFFFF"/>
      <w:spacing w:before="1140" w:after="1500" w:line="240" w:lineRule="atLeast"/>
      <w:jc w:val="center"/>
    </w:pPr>
    <w:rPr>
      <w:rFonts w:ascii="宋体" w:hAnsi="宋体" w:cs="宋体"/>
      <w:spacing w:val="2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jpe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4737240C1847D1833F1AD6B0749878"/>
        <w:style w:val=""/>
        <w:category>
          <w:name w:val="常规"/>
          <w:gallery w:val="placeholder"/>
        </w:category>
        <w:types>
          <w:type w:val="bbPlcHdr"/>
        </w:types>
        <w:behaviors>
          <w:behavior w:val="content"/>
        </w:behaviors>
        <w:description w:val=""/>
        <w:guid w:val="{C77D5DDD-579E-4383-AEE4-B617904DA5EB}"/>
      </w:docPartPr>
      <w:docPartBody>
        <w:p w14:paraId="53000E02">
          <w:pPr>
            <w:pStyle w:val="5"/>
          </w:pPr>
          <w:r>
            <w:rPr>
              <w:rStyle w:val="4"/>
              <w:rFonts w:hint="eastAsia"/>
            </w:rPr>
            <w:t>单击或点击此处输入文字。</w:t>
          </w:r>
        </w:p>
      </w:docPartBody>
    </w:docPart>
    <w:docPart>
      <w:docPartPr>
        <w:name w:val="9D422C89B4B6423FA3C6AEDB708BEFE1"/>
        <w:style w:val=""/>
        <w:category>
          <w:name w:val="常规"/>
          <w:gallery w:val="placeholder"/>
        </w:category>
        <w:types>
          <w:type w:val="bbPlcHdr"/>
        </w:types>
        <w:behaviors>
          <w:behavior w:val="content"/>
        </w:behaviors>
        <w:description w:val=""/>
        <w:guid w:val="{62BC36D5-CAB4-49C8-AA40-62F2C2CFCA36}"/>
      </w:docPartPr>
      <w:docPartBody>
        <w:p w14:paraId="4E860012">
          <w:pPr>
            <w:pStyle w:val="6"/>
          </w:pPr>
          <w:r>
            <w:rPr>
              <w:rStyle w:val="4"/>
              <w:rFonts w:hint="eastAsia"/>
            </w:rPr>
            <w:t>选择一项。</w:t>
          </w:r>
        </w:p>
      </w:docPartBody>
    </w:docPart>
    <w:docPart>
      <w:docPartPr>
        <w:name w:val="D56DFCDA99CD43CD95A8B1E186EBA1A7"/>
        <w:style w:val=""/>
        <w:category>
          <w:name w:val="常规"/>
          <w:gallery w:val="placeholder"/>
        </w:category>
        <w:types>
          <w:type w:val="bbPlcHdr"/>
        </w:types>
        <w:behaviors>
          <w:behavior w:val="content"/>
        </w:behaviors>
        <w:description w:val=""/>
        <w:guid w:val="{315A1899-5071-4AEE-BC76-E0D9504B443E}"/>
      </w:docPartPr>
      <w:docPartBody>
        <w:p w14:paraId="10A6BD9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6689D"/>
    <w:rsid w:val="002D55FA"/>
    <w:rsid w:val="0049048E"/>
    <w:rsid w:val="007C61D5"/>
    <w:rsid w:val="0096689D"/>
    <w:rsid w:val="00D757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D4737240C1847D1833F1AD6B07498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D422C89B4B6423FA3C6AEDB708BEF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56DFCDA99CD43CD95A8B1E186EBA1A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351CA-E61A-4252-9E4C-BF242826164F}">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15</Pages>
  <Words>1467</Words>
  <Characters>1750</Characters>
  <Lines>73</Lines>
  <Paragraphs>20</Paragraphs>
  <TotalTime>10</TotalTime>
  <ScaleCrop>false</ScaleCrop>
  <LinksUpToDate>false</LinksUpToDate>
  <CharactersWithSpaces>1857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2024-04-28T07:47:00Z</dcterms:created>
  <dc:creator>PC</dc:creator>
  <dc:description>&lt;config cover="true" show_menu="true" version="1.0.0" doctype="SDKXY"&gt;_x000d_
&lt;/config&gt;</dc:description>
  <cp:lastModifiedBy>朱智荣</cp:lastModifiedBy>
  <cp:lastPrinted>2020-08-30T10:00:00Z</cp:lastPrinted>
  <dcterms:modified xsi:type="dcterms:W3CDTF">2024-11-05T04:21:26Z</dcterms:modified>
  <dc:title>地方标准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9B7C9F65039044ECAE08B2986625A002_12</vt:lpwstr>
  </property>
</Properties>
</file>