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870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E7D32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5AC75E5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03.120.20</w:t>
            </w:r>
            <w:r>
              <w:rPr>
                <w:rFonts w:ascii="黑体" w:hAnsi="黑体" w:eastAsia="黑体"/>
                <w:sz w:val="21"/>
                <w:szCs w:val="21"/>
              </w:rPr>
              <w:fldChar w:fldCharType="end"/>
            </w:r>
            <w:bookmarkEnd w:id="0"/>
          </w:p>
        </w:tc>
      </w:tr>
      <w:tr w14:paraId="377F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D9700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008AF3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A00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2B8485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4C8D2AF">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BDA7A3C">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CE3A7BF">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2024</w:t>
      </w:r>
      <w:r>
        <w:fldChar w:fldCharType="end"/>
      </w:r>
      <w:bookmarkEnd w:id="7"/>
    </w:p>
    <w:p w14:paraId="22CC0670">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0D0460D9">
      <w:pPr>
        <w:pStyle w:val="51"/>
        <w:framePr w:w="9639" w:h="6976" w:hRule="exact" w:hSpace="0" w:vSpace="0" w:wrap="around" w:hAnchor="page" w:y="6408"/>
        <w:jc w:val="center"/>
        <w:rPr>
          <w:rFonts w:ascii="黑体" w:hAnsi="黑体" w:eastAsia="黑体"/>
          <w:b w:val="0"/>
          <w:bCs w:val="0"/>
          <w:w w:val="100"/>
        </w:rPr>
      </w:pPr>
    </w:p>
    <w:p w14:paraId="01D67B9C">
      <w:pPr>
        <w:pStyle w:val="198"/>
        <w:framePr w:h="6974" w:hRule="exact" w:wrap="around" w:x="1419" w:anchorLock="1"/>
      </w:pPr>
      <w:bookmarkStart w:id="83" w:name="_GoBack"/>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政府合同合法性审核指引</w:t>
      </w:r>
      <w:r>
        <w:fldChar w:fldCharType="end"/>
      </w:r>
      <w:bookmarkEnd w:id="83"/>
      <w:bookmarkEnd w:id="8"/>
    </w:p>
    <w:p w14:paraId="6FFA340E">
      <w:pPr>
        <w:framePr w:w="9639" w:h="6974" w:hRule="exact" w:wrap="around" w:vAnchor="page" w:hAnchor="page" w:x="1419" w:y="6408" w:anchorLock="1"/>
        <w:ind w:left="-1418"/>
      </w:pPr>
    </w:p>
    <w:p w14:paraId="0A093932">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the review of legitimacy of government contracts</w:t>
      </w:r>
      <w:r>
        <w:rPr>
          <w:rFonts w:eastAsia="黑体"/>
          <w:szCs w:val="28"/>
        </w:rPr>
        <w:fldChar w:fldCharType="end"/>
      </w:r>
      <w:bookmarkEnd w:id="9"/>
    </w:p>
    <w:p w14:paraId="2FE15703">
      <w:pPr>
        <w:framePr w:w="9639" w:h="6974" w:hRule="exact" w:wrap="around" w:vAnchor="page" w:hAnchor="page" w:x="1419" w:y="6408" w:anchorLock="1"/>
        <w:spacing w:line="760" w:lineRule="exact"/>
        <w:ind w:left="-1418"/>
      </w:pPr>
    </w:p>
    <w:p w14:paraId="0B088707">
      <w:pPr>
        <w:pStyle w:val="126"/>
        <w:framePr w:w="9639" w:h="6974" w:hRule="exact" w:wrap="around" w:vAnchor="page" w:hAnchor="page" w:x="1419" w:y="6408" w:anchorLock="1"/>
        <w:textAlignment w:val="bottom"/>
        <w:rPr>
          <w:rFonts w:eastAsia="黑体"/>
          <w:szCs w:val="28"/>
        </w:rPr>
      </w:pPr>
    </w:p>
    <w:p w14:paraId="26F7A51E">
      <w:pPr>
        <w:pStyle w:val="126"/>
        <w:framePr w:w="9639" w:h="6974" w:hRule="exact" w:wrap="around" w:vAnchor="page" w:hAnchor="page" w:x="1419" w:y="6408" w:anchorLock="1"/>
        <w:spacing w:before="440" w:after="160"/>
        <w:textAlignment w:val="bottom"/>
        <w:rPr>
          <w:sz w:val="24"/>
          <w:szCs w:val="28"/>
        </w:rPr>
      </w:pPr>
    </w:p>
    <w:p w14:paraId="5FE58778">
      <w:pPr>
        <w:pStyle w:val="126"/>
        <w:framePr w:w="9639" w:h="6974" w:hRule="exact" w:wrap="around" w:vAnchor="page" w:hAnchor="page" w:x="1419" w:y="6408" w:anchorLock="1"/>
        <w:spacing w:beforeLines="300" w:afterLines="30" w:line="240" w:lineRule="auto"/>
        <w:textAlignment w:val="bottom"/>
        <w:rPr>
          <w:b/>
          <w:sz w:val="21"/>
          <w:szCs w:val="28"/>
        </w:rPr>
      </w:pPr>
    </w:p>
    <w:p w14:paraId="66CDB502">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3638D2BB">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6C821646">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54C51F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2050" o:spid="_x0000_s2050"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255687BF">
      <w:pPr>
        <w:pStyle w:val="92"/>
        <w:spacing w:after="468"/>
        <w:rPr>
          <w:rFonts w:hint="eastAsia"/>
        </w:rPr>
      </w:pPr>
      <w:bookmarkStart w:id="17" w:name="BookMark1"/>
      <w:r>
        <w:rPr>
          <w:rFonts w:hint="eastAsia"/>
          <w:spacing w:val="320"/>
        </w:rPr>
        <w:t>目</w:t>
      </w:r>
      <w:r>
        <w:rPr>
          <w:rFonts w:hint="eastAsia"/>
        </w:rPr>
        <w:t>次</w:t>
      </w:r>
    </w:p>
    <w:p w14:paraId="4F11B11C">
      <w:pPr>
        <w:pStyle w:val="19"/>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w:instrText>
      </w:r>
      <w:r>
        <w:instrText xml:space="preserve"> </w:instrText>
      </w:r>
      <w:r>
        <w:fldChar w:fldCharType="separate"/>
      </w:r>
      <w:r>
        <w:fldChar w:fldCharType="begin"/>
      </w:r>
      <w:r>
        <w:instrText xml:space="preserve"> HYPERLINK \l "_Toc178086501" </w:instrText>
      </w:r>
      <w:r>
        <w:fldChar w:fldCharType="separate"/>
      </w:r>
      <w:r>
        <w:rPr>
          <w:rStyle w:val="33"/>
          <w:rFonts w:hint="eastAsia"/>
        </w:rPr>
        <w:t>前言</w:t>
      </w:r>
      <w:r>
        <w:tab/>
      </w:r>
      <w:r>
        <w:fldChar w:fldCharType="begin"/>
      </w:r>
      <w:r>
        <w:instrText xml:space="preserve"> PAGEREF _Toc178086501 \h </w:instrText>
      </w:r>
      <w:r>
        <w:fldChar w:fldCharType="separate"/>
      </w:r>
      <w:r>
        <w:t>II</w:t>
      </w:r>
      <w:r>
        <w:fldChar w:fldCharType="end"/>
      </w:r>
      <w:r>
        <w:fldChar w:fldCharType="end"/>
      </w:r>
    </w:p>
    <w:p w14:paraId="0C8C3787">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"_Toc178086502" </w:instrText>
      </w:r>
      <w:r>
        <w:fldChar w:fldCharType="separate"/>
      </w:r>
      <w:r>
        <w:rPr>
          <w:rStyle w:val="33"/>
        </w:rPr>
        <w:t xml:space="preserve">1 </w:t>
      </w:r>
      <w:r>
        <w:rPr>
          <w:rStyle w:val="33"/>
          <w:rFonts w:hint="eastAsia"/>
        </w:rPr>
        <w:t xml:space="preserve"> 范围</w:t>
      </w:r>
      <w:r>
        <w:tab/>
      </w:r>
      <w:r>
        <w:fldChar w:fldCharType="begin"/>
      </w:r>
      <w:r>
        <w:instrText xml:space="preserve"> PAGEREF _Toc178086502 \h </w:instrText>
      </w:r>
      <w:r>
        <w:fldChar w:fldCharType="separate"/>
      </w:r>
      <w:r>
        <w:t>1</w:t>
      </w:r>
      <w:r>
        <w:fldChar w:fldCharType="end"/>
      </w:r>
      <w:r>
        <w:fldChar w:fldCharType="end"/>
      </w:r>
    </w:p>
    <w:p w14:paraId="25A72432">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"_Toc178086503"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_Toc178086503 \h </w:instrText>
      </w:r>
      <w:r>
        <w:fldChar w:fldCharType="separate"/>
      </w:r>
      <w:r>
        <w:t>1</w:t>
      </w:r>
      <w:r>
        <w:fldChar w:fldCharType="end"/>
      </w:r>
      <w:r>
        <w:fldChar w:fldCharType="end"/>
      </w:r>
    </w:p>
    <w:p w14:paraId="73DC1918">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"_Toc178086504"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_Toc178086504 \h </w:instrText>
      </w:r>
      <w:r>
        <w:fldChar w:fldCharType="separate"/>
      </w:r>
      <w:r>
        <w:t>1</w:t>
      </w:r>
      <w:r>
        <w:fldChar w:fldCharType="end"/>
      </w:r>
      <w:r>
        <w:fldChar w:fldCharType="end"/>
      </w:r>
    </w:p>
    <w:p w14:paraId="622B549E">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"_Toc178086505" </w:instrText>
      </w:r>
      <w:r>
        <w:fldChar w:fldCharType="separate"/>
      </w:r>
      <w:r>
        <w:rPr>
          <w:rStyle w:val="33"/>
        </w:rPr>
        <w:t xml:space="preserve">4 </w:t>
      </w:r>
      <w:r>
        <w:rPr>
          <w:rStyle w:val="33"/>
          <w:rFonts w:hint="eastAsia"/>
        </w:rPr>
        <w:t xml:space="preserve"> 总体原则</w:t>
      </w:r>
      <w:r>
        <w:tab/>
      </w:r>
      <w:r>
        <w:fldChar w:fldCharType="begin"/>
      </w:r>
      <w:r>
        <w:instrText xml:space="preserve"> PAGEREF _Toc178086505 \h </w:instrText>
      </w:r>
      <w:r>
        <w:fldChar w:fldCharType="separate"/>
      </w:r>
      <w:r>
        <w:t>1</w:t>
      </w:r>
      <w:r>
        <w:fldChar w:fldCharType="end"/>
      </w:r>
      <w:r>
        <w:fldChar w:fldCharType="end"/>
      </w:r>
    </w:p>
    <w:p w14:paraId="0243656A">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"_Toc178086506" </w:instrText>
      </w:r>
      <w:r>
        <w:fldChar w:fldCharType="separate"/>
      </w:r>
      <w:r>
        <w:rPr>
          <w:rStyle w:val="33"/>
        </w:rPr>
        <w:t xml:space="preserve">5 </w:t>
      </w:r>
      <w:r>
        <w:rPr>
          <w:rStyle w:val="33"/>
          <w:rFonts w:hint="eastAsia"/>
        </w:rPr>
        <w:t xml:space="preserve"> 审核范围</w:t>
      </w:r>
      <w:r>
        <w:tab/>
      </w:r>
      <w:r>
        <w:fldChar w:fldCharType="begin"/>
      </w:r>
      <w:r>
        <w:instrText xml:space="preserve"> PAGEREF _Toc178086506 \h </w:instrText>
      </w:r>
      <w:r>
        <w:fldChar w:fldCharType="separate"/>
      </w:r>
      <w:r>
        <w:t>2</w:t>
      </w:r>
      <w:r>
        <w:fldChar w:fldCharType="end"/>
      </w:r>
      <w:r>
        <w:fldChar w:fldCharType="end"/>
      </w:r>
    </w:p>
    <w:p w14:paraId="5737EE2B">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"_Toc178086507" </w:instrText>
      </w:r>
      <w:r>
        <w:fldChar w:fldCharType="separate"/>
      </w:r>
      <w:r>
        <w:rPr>
          <w:rStyle w:val="33"/>
        </w:rPr>
        <w:t xml:space="preserve">6 </w:t>
      </w:r>
      <w:r>
        <w:rPr>
          <w:rStyle w:val="33"/>
          <w:rFonts w:hint="eastAsia"/>
        </w:rPr>
        <w:t xml:space="preserve"> 审核机构与审核方式</w:t>
      </w:r>
      <w:r>
        <w:tab/>
      </w:r>
      <w:r>
        <w:fldChar w:fldCharType="begin"/>
      </w:r>
      <w:r>
        <w:instrText xml:space="preserve"> PAGEREF _Toc178086507 \h </w:instrText>
      </w:r>
      <w:r>
        <w:fldChar w:fldCharType="separate"/>
      </w:r>
      <w:r>
        <w:t>2</w:t>
      </w:r>
      <w:r>
        <w:fldChar w:fldCharType="end"/>
      </w:r>
      <w:r>
        <w:fldChar w:fldCharType="end"/>
      </w:r>
    </w:p>
    <w:p w14:paraId="26009498">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"_Toc178086508" </w:instrText>
      </w:r>
      <w:r>
        <w:fldChar w:fldCharType="separate"/>
      </w:r>
      <w:r>
        <w:rPr>
          <w:rStyle w:val="33"/>
          <w:rFonts w:hAnsi="黑体" w:cs="黑体"/>
        </w:rPr>
        <w:t xml:space="preserve">7 </w:t>
      </w:r>
      <w:r>
        <w:rPr>
          <w:rStyle w:val="33"/>
          <w:rFonts w:hint="eastAsia"/>
        </w:rPr>
        <w:t xml:space="preserve"> 审核程序</w:t>
      </w:r>
      <w:r>
        <w:tab/>
      </w:r>
      <w:r>
        <w:fldChar w:fldCharType="begin"/>
      </w:r>
      <w:r>
        <w:instrText xml:space="preserve"> PAGEREF _Toc178086508 \h </w:instrText>
      </w:r>
      <w:r>
        <w:fldChar w:fldCharType="separate"/>
      </w:r>
      <w:r>
        <w:t>3</w:t>
      </w:r>
      <w:r>
        <w:fldChar w:fldCharType="end"/>
      </w:r>
      <w:r>
        <w:fldChar w:fldCharType="end"/>
      </w:r>
    </w:p>
    <w:p w14:paraId="5F78524E">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"_Toc178086509" </w:instrText>
      </w:r>
      <w:r>
        <w:fldChar w:fldCharType="separate"/>
      </w:r>
      <w:r>
        <w:rPr>
          <w:rStyle w:val="33"/>
        </w:rPr>
        <w:t xml:space="preserve">8 </w:t>
      </w:r>
      <w:r>
        <w:rPr>
          <w:rStyle w:val="33"/>
          <w:rFonts w:hint="eastAsia"/>
        </w:rPr>
        <w:t xml:space="preserve"> 合法性审核内容</w:t>
      </w:r>
      <w:r>
        <w:tab/>
      </w:r>
      <w:r>
        <w:fldChar w:fldCharType="begin"/>
      </w:r>
      <w:r>
        <w:instrText xml:space="preserve"> PAGEREF _Toc178086509 \h </w:instrText>
      </w:r>
      <w:r>
        <w:fldChar w:fldCharType="separate"/>
      </w:r>
      <w:r>
        <w:t>4</w:t>
      </w:r>
      <w:r>
        <w:fldChar w:fldCharType="end"/>
      </w:r>
      <w:r>
        <w:fldChar w:fldCharType="end"/>
      </w:r>
    </w:p>
    <w:p w14:paraId="13E31845">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"_Toc178086510" </w:instrText>
      </w:r>
      <w:r>
        <w:fldChar w:fldCharType="separate"/>
      </w:r>
      <w:r>
        <w:rPr>
          <w:rStyle w:val="33"/>
          <w:rFonts w:hAnsi="黑体" w:cs="黑体"/>
        </w:rPr>
        <w:t xml:space="preserve">9 </w:t>
      </w:r>
      <w:r>
        <w:rPr>
          <w:rStyle w:val="33"/>
          <w:rFonts w:hint="eastAsia"/>
        </w:rPr>
        <w:t xml:space="preserve"> 合同表述审核</w:t>
      </w:r>
      <w:r>
        <w:tab/>
      </w:r>
      <w:r>
        <w:fldChar w:fldCharType="begin"/>
      </w:r>
      <w:r>
        <w:instrText xml:space="preserve"> PAGEREF _Toc178086510 \h </w:instrText>
      </w:r>
      <w:r>
        <w:fldChar w:fldCharType="separate"/>
      </w:r>
      <w:r>
        <w:t>7</w:t>
      </w:r>
      <w:r>
        <w:fldChar w:fldCharType="end"/>
      </w:r>
      <w:r>
        <w:fldChar w:fldCharType="end"/>
      </w:r>
    </w:p>
    <w:p w14:paraId="7BFF652F">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"_Toc178086511" </w:instrText>
      </w:r>
      <w:r>
        <w:fldChar w:fldCharType="separate"/>
      </w:r>
      <w:r>
        <w:rPr>
          <w:rStyle w:val="33"/>
          <w:rFonts w:hAnsi="黑体" w:cs="黑体"/>
        </w:rPr>
        <w:t xml:space="preserve">10 </w:t>
      </w:r>
      <w:r>
        <w:rPr>
          <w:rStyle w:val="33"/>
          <w:rFonts w:hint="eastAsia"/>
        </w:rPr>
        <w:t xml:space="preserve"> 不予审核的内容</w:t>
      </w:r>
      <w:r>
        <w:tab/>
      </w:r>
      <w:r>
        <w:fldChar w:fldCharType="begin"/>
      </w:r>
      <w:r>
        <w:instrText xml:space="preserve"> PAGEREF _Toc178086511 \h </w:instrText>
      </w:r>
      <w:r>
        <w:fldChar w:fldCharType="separate"/>
      </w:r>
      <w:r>
        <w:t>8</w:t>
      </w:r>
      <w:r>
        <w:fldChar w:fldCharType="end"/>
      </w:r>
      <w:r>
        <w:fldChar w:fldCharType="end"/>
      </w:r>
    </w:p>
    <w:p w14:paraId="2A560875">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"_Toc178086512" </w:instrText>
      </w:r>
      <w:r>
        <w:fldChar w:fldCharType="separate"/>
      </w:r>
      <w:r>
        <w:rPr>
          <w:rStyle w:val="33"/>
          <w:rFonts w:hAnsi="黑体" w:cs="黑体"/>
        </w:rPr>
        <w:t xml:space="preserve">11 </w:t>
      </w:r>
      <w:r>
        <w:rPr>
          <w:rStyle w:val="33"/>
          <w:rFonts w:hint="eastAsia"/>
        </w:rPr>
        <w:t xml:space="preserve"> 审核意见</w:t>
      </w:r>
      <w:r>
        <w:tab/>
      </w:r>
      <w:r>
        <w:fldChar w:fldCharType="begin"/>
      </w:r>
      <w:r>
        <w:instrText xml:space="preserve"> PAGEREF _Toc178086512 \h </w:instrText>
      </w:r>
      <w:r>
        <w:fldChar w:fldCharType="separate"/>
      </w:r>
      <w:r>
        <w:t>8</w:t>
      </w:r>
      <w:r>
        <w:fldChar w:fldCharType="end"/>
      </w:r>
      <w:r>
        <w:fldChar w:fldCharType="end"/>
      </w:r>
    </w:p>
    <w:p w14:paraId="4DE3511C">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"_Toc178086513" </w:instrText>
      </w:r>
      <w:r>
        <w:fldChar w:fldCharType="separate"/>
      </w:r>
      <w:r>
        <w:rPr>
          <w:rStyle w:val="33"/>
        </w:rPr>
        <w:t xml:space="preserve">12 </w:t>
      </w:r>
      <w:r>
        <w:rPr>
          <w:rStyle w:val="33"/>
          <w:rFonts w:hint="eastAsia"/>
        </w:rPr>
        <w:t xml:space="preserve"> 保密事项</w:t>
      </w:r>
      <w:r>
        <w:tab/>
      </w:r>
      <w:r>
        <w:fldChar w:fldCharType="begin"/>
      </w:r>
      <w:r>
        <w:instrText xml:space="preserve"> PAGEREF _Toc178086513 \h </w:instrText>
      </w:r>
      <w:r>
        <w:fldChar w:fldCharType="separate"/>
      </w:r>
      <w:r>
        <w:t>8</w:t>
      </w:r>
      <w:r>
        <w:fldChar w:fldCharType="end"/>
      </w:r>
      <w:r>
        <w:fldChar w:fldCharType="end"/>
      </w:r>
    </w:p>
    <w:p w14:paraId="11624102">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"_Toc178086514" </w:instrText>
      </w:r>
      <w:r>
        <w:fldChar w:fldCharType="separate"/>
      </w:r>
      <w:r>
        <w:rPr>
          <w:rStyle w:val="33"/>
        </w:rPr>
        <w:t xml:space="preserve">13 </w:t>
      </w:r>
      <w:r>
        <w:rPr>
          <w:rStyle w:val="33"/>
          <w:rFonts w:hint="eastAsia"/>
        </w:rPr>
        <w:t xml:space="preserve"> 档案管理</w:t>
      </w:r>
      <w:r>
        <w:tab/>
      </w:r>
      <w:r>
        <w:fldChar w:fldCharType="begin"/>
      </w:r>
      <w:r>
        <w:instrText xml:space="preserve"> PAGEREF _Toc178086514 \h </w:instrText>
      </w:r>
      <w:r>
        <w:fldChar w:fldCharType="separate"/>
      </w:r>
      <w:r>
        <w:t>9</w:t>
      </w:r>
      <w:r>
        <w:fldChar w:fldCharType="end"/>
      </w:r>
      <w:r>
        <w:fldChar w:fldCharType="end"/>
      </w:r>
    </w:p>
    <w:p w14:paraId="3A16C8F1">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"_Toc178086515" </w:instrText>
      </w:r>
      <w:r>
        <w:fldChar w:fldCharType="separate"/>
      </w:r>
      <w:r>
        <w:rPr>
          <w:rStyle w:val="33"/>
          <w:rFonts w:hint="eastAsia"/>
        </w:rPr>
        <w:t>附录A（资料性）</w:t>
      </w:r>
      <w:r>
        <w:rPr>
          <w:rStyle w:val="33"/>
        </w:rPr>
        <w:t xml:space="preserve">  </w:t>
      </w:r>
      <w:r>
        <w:rPr>
          <w:rStyle w:val="33"/>
          <w:rFonts w:hint="eastAsia"/>
        </w:rPr>
        <w:t>政府合同合法性审核意见参考样式</w:t>
      </w:r>
      <w:r>
        <w:tab/>
      </w:r>
      <w:r>
        <w:fldChar w:fldCharType="begin"/>
      </w:r>
      <w:r>
        <w:instrText xml:space="preserve"> PAGEREF _Toc178086515 \h </w:instrText>
      </w:r>
      <w:r>
        <w:fldChar w:fldCharType="separate"/>
      </w:r>
      <w:r>
        <w:t>10</w:t>
      </w:r>
      <w:r>
        <w:fldChar w:fldCharType="end"/>
      </w:r>
      <w:r>
        <w:fldChar w:fldCharType="end"/>
      </w:r>
    </w:p>
    <w:p w14:paraId="5B2D16AE">
      <w:pPr>
        <w:pStyle w:val="19"/>
        <w:tabs>
          <w:tab w:val="right" w:leader="dot" w:pos="9344"/>
        </w:tabs>
        <w:rPr>
          <w:rFonts w:asciiTheme="minorHAnsi" w:hAnsiTheme="minorHAnsi" w:eastAsiaTheme="minorEastAsia" w:cstheme="minorBidi"/>
          <w:szCs w:val="22"/>
        </w:rPr>
      </w:pPr>
      <w:r>
        <w:fldChar w:fldCharType="begin"/>
      </w:r>
      <w:r>
        <w:instrText xml:space="preserve"> HYPERLINK \l "_Toc178086516" </w:instrText>
      </w:r>
      <w:r>
        <w:fldChar w:fldCharType="separate"/>
      </w:r>
      <w:r>
        <w:rPr>
          <w:rStyle w:val="33"/>
          <w:rFonts w:hint="eastAsia"/>
        </w:rPr>
        <w:t>参考文献</w:t>
      </w:r>
      <w:r>
        <w:tab/>
      </w:r>
      <w:r>
        <w:fldChar w:fldCharType="begin"/>
      </w:r>
      <w:r>
        <w:instrText xml:space="preserve"> PAGEREF _Toc178086516 \h </w:instrText>
      </w:r>
      <w:r>
        <w:fldChar w:fldCharType="separate"/>
      </w:r>
      <w:r>
        <w:t>11</w:t>
      </w:r>
      <w:r>
        <w:fldChar w:fldCharType="end"/>
      </w:r>
      <w:r>
        <w:fldChar w:fldCharType="end"/>
      </w:r>
    </w:p>
    <w:p w14:paraId="228FC93D">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7"/>
    <w:p w14:paraId="389987AE">
      <w:pPr>
        <w:pStyle w:val="90"/>
        <w:spacing w:after="468"/>
      </w:pPr>
      <w:bookmarkStart w:id="18" w:name="_Toc178086501"/>
      <w:bookmarkStart w:id="19" w:name="BookMark2"/>
      <w:r>
        <w:rPr>
          <w:spacing w:val="320"/>
        </w:rPr>
        <w:t>前</w:t>
      </w:r>
      <w:r>
        <w:t>言</w:t>
      </w:r>
      <w:bookmarkEnd w:id="18"/>
    </w:p>
    <w:p w14:paraId="436F61B2">
      <w:pPr>
        <w:pStyle w:val="57"/>
        <w:ind w:firstLine="420"/>
        <w:rPr>
          <w:rFonts w:hint="eastAsia"/>
        </w:rPr>
      </w:pPr>
      <w:r>
        <w:rPr>
          <w:rFonts w:hint="eastAsia"/>
        </w:rPr>
        <w:t>本文件按照GB/T 1.1—2020《标准化工作导则  第1部分：标准化文件的结构和起草规则》的规定起草。</w:t>
      </w:r>
    </w:p>
    <w:p w14:paraId="79E65C9E">
      <w:pPr>
        <w:pStyle w:val="57"/>
        <w:ind w:firstLine="420"/>
      </w:pPr>
      <w:r>
        <w:rPr>
          <w:rFonts w:hint="eastAsia"/>
        </w:rPr>
        <w:t>请注意本文件的某些内容可能涉及专利。本文件的发布机构不承担识别专利的责任。</w:t>
      </w:r>
    </w:p>
    <w:p w14:paraId="556B4270">
      <w:pPr>
        <w:pStyle w:val="57"/>
        <w:ind w:firstLine="420"/>
        <w:rPr>
          <w:rFonts w:hint="eastAsia"/>
        </w:rPr>
      </w:pPr>
      <w:r>
        <w:rPr>
          <w:rFonts w:hint="eastAsia"/>
        </w:rPr>
        <w:t>本文件由南通市司法局</w:t>
      </w:r>
      <w:r>
        <w:rPr>
          <w:rFonts w:hint="eastAsia"/>
          <w:lang w:eastAsia="zh-CN"/>
        </w:rPr>
        <w:t>提出</w:t>
      </w:r>
      <w:r>
        <w:rPr>
          <w:rFonts w:hint="eastAsia"/>
        </w:rPr>
        <w:t>。</w:t>
      </w:r>
    </w:p>
    <w:p w14:paraId="68B26A1E">
      <w:pPr>
        <w:pStyle w:val="57"/>
        <w:ind w:firstLine="420"/>
        <w:rPr>
          <w:rFonts w:hint="eastAsia"/>
        </w:rPr>
      </w:pPr>
      <w:r>
        <w:rPr>
          <w:rFonts w:hint="eastAsia"/>
        </w:rPr>
        <w:t>本文件由南通市司法局提出归口。</w:t>
      </w:r>
    </w:p>
    <w:p w14:paraId="7BF3A239">
      <w:pPr>
        <w:pStyle w:val="57"/>
        <w:ind w:firstLine="420"/>
        <w:rPr>
          <w:rFonts w:hint="eastAsia"/>
        </w:rPr>
      </w:pPr>
      <w:r>
        <w:rPr>
          <w:rFonts w:hint="eastAsia"/>
        </w:rPr>
        <w:t>本文件起草单位：南通市司法局、江苏众瓴律师事务所。</w:t>
      </w:r>
    </w:p>
    <w:p w14:paraId="5A02ACC2">
      <w:pPr>
        <w:pStyle w:val="57"/>
        <w:ind w:firstLine="420"/>
        <w:rPr>
          <w:rFonts w:hint="eastAsia"/>
        </w:rPr>
      </w:pPr>
      <w:r>
        <w:rPr>
          <w:rFonts w:hint="eastAsia"/>
        </w:rPr>
        <w:t>本文件主要起草人：严尚军、余昔林、许飞、卢鹏、季寰宇、朱一葵、施锶。</w:t>
      </w:r>
    </w:p>
    <w:p w14:paraId="29951A52">
      <w:pPr>
        <w:pStyle w:val="57"/>
        <w:ind w:firstLine="420"/>
      </w:pPr>
    </w:p>
    <w:p w14:paraId="0493EE76">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19"/>
    <w:p w14:paraId="5EF306F2">
      <w:pPr>
        <w:spacing w:line="20" w:lineRule="exact"/>
        <w:jc w:val="center"/>
        <w:rPr>
          <w:rFonts w:ascii="黑体" w:hAnsi="黑体" w:eastAsia="黑体"/>
          <w:sz w:val="32"/>
          <w:szCs w:val="32"/>
        </w:rPr>
      </w:pPr>
      <w:bookmarkStart w:id="20" w:name="BookMark4"/>
    </w:p>
    <w:p w14:paraId="2BF31D7B">
      <w:pPr>
        <w:spacing w:line="20" w:lineRule="exact"/>
        <w:jc w:val="center"/>
        <w:rPr>
          <w:rFonts w:ascii="黑体" w:hAnsi="黑体" w:eastAsia="黑体"/>
          <w:sz w:val="32"/>
          <w:szCs w:val="32"/>
        </w:rPr>
      </w:pPr>
    </w:p>
    <w:sdt>
      <w:sdtPr>
        <w:tag w:val="NEW_STAND_NAME"/>
        <w:id w:val="595910757"/>
        <w:lock w:val="sdtLocked"/>
        <w:placeholder>
          <w:docPart w:val="D11D49C3C0DF4E1299967DA524BF2455"/>
        </w:placeholder>
      </w:sdtPr>
      <w:sdtContent>
        <w:p w14:paraId="0B19849A">
          <w:pPr>
            <w:pStyle w:val="178"/>
            <w:spacing w:beforeLines="1" w:afterLines="220"/>
          </w:pPr>
          <w:bookmarkStart w:id="21" w:name="NEW_STAND_NAME"/>
          <w:r>
            <w:rPr>
              <w:rFonts w:hint="eastAsia"/>
            </w:rPr>
            <w:t>政府合同合法性审核指引</w:t>
          </w:r>
        </w:p>
      </w:sdtContent>
    </w:sdt>
    <w:bookmarkEnd w:id="21"/>
    <w:p w14:paraId="06AF409F">
      <w:pPr>
        <w:pStyle w:val="105"/>
        <w:spacing w:before="312" w:after="312"/>
      </w:pPr>
      <w:bookmarkStart w:id="22" w:name="_Toc26718930"/>
      <w:bookmarkStart w:id="23" w:name="_Toc26986530"/>
      <w:bookmarkStart w:id="24" w:name="_Toc26986771"/>
      <w:bookmarkStart w:id="25" w:name="_Toc24884218"/>
      <w:bookmarkStart w:id="26" w:name="_Toc26648465"/>
      <w:bookmarkStart w:id="27" w:name="_Toc24884211"/>
      <w:bookmarkStart w:id="28" w:name="_Toc177245237"/>
      <w:bookmarkStart w:id="29" w:name="_Toc17233325"/>
      <w:bookmarkStart w:id="30" w:name="_Toc17233333"/>
      <w:bookmarkStart w:id="31" w:name="_Toc178086502"/>
      <w:r>
        <w:rPr>
          <w:rFonts w:hint="eastAsia"/>
        </w:rPr>
        <w:t>范围</w:t>
      </w:r>
      <w:bookmarkEnd w:id="22"/>
      <w:bookmarkEnd w:id="23"/>
      <w:bookmarkEnd w:id="24"/>
      <w:bookmarkEnd w:id="25"/>
      <w:bookmarkEnd w:id="26"/>
      <w:bookmarkEnd w:id="27"/>
      <w:bookmarkEnd w:id="28"/>
      <w:bookmarkEnd w:id="29"/>
      <w:bookmarkEnd w:id="30"/>
      <w:bookmarkEnd w:id="31"/>
    </w:p>
    <w:p w14:paraId="45DA9F0A">
      <w:pPr>
        <w:pStyle w:val="57"/>
        <w:ind w:firstLine="420"/>
      </w:pPr>
      <w:bookmarkStart w:id="32" w:name="_Toc26648466"/>
      <w:bookmarkStart w:id="33" w:name="_Toc24884212"/>
      <w:bookmarkStart w:id="34" w:name="_Toc17233334"/>
      <w:bookmarkStart w:id="35" w:name="_Toc17233326"/>
      <w:bookmarkStart w:id="36" w:name="_Toc24884219"/>
      <w:r>
        <w:rPr>
          <w:rFonts w:hint="eastAsia"/>
        </w:rPr>
        <w:t>本文件确立了政府合同合法性审核的总体原则、审核范围、审核机构与审核方式、审核程序、审核期限、审核内容、表述审核、审核意见、保密事项、档案管理方面的指引。</w:t>
      </w:r>
    </w:p>
    <w:p w14:paraId="2CD92137">
      <w:pPr>
        <w:pStyle w:val="57"/>
        <w:ind w:firstLine="420"/>
      </w:pPr>
      <w:r>
        <w:rPr>
          <w:rFonts w:hint="eastAsia"/>
        </w:rPr>
        <w:t>本文件适用于南通市政府及其工作部门作为合同一方的政府合同合法性审核。各县（市、区）人民政府（管委会）及其工作部门可参照执行。</w:t>
      </w:r>
    </w:p>
    <w:p w14:paraId="1BF29A9B">
      <w:pPr>
        <w:pStyle w:val="105"/>
        <w:spacing w:before="312" w:after="312"/>
      </w:pPr>
      <w:bookmarkStart w:id="37" w:name="_Toc26986531"/>
      <w:bookmarkStart w:id="38" w:name="_Toc26718931"/>
      <w:bookmarkStart w:id="39" w:name="_Toc26986772"/>
      <w:bookmarkStart w:id="40" w:name="_Toc177245238"/>
      <w:bookmarkStart w:id="41" w:name="_Toc178086503"/>
      <w:r>
        <w:rPr>
          <w:rFonts w:hint="eastAsia"/>
        </w:rPr>
        <w:t>规范性引用文件</w:t>
      </w:r>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760FA508F51142FA9B8B217542996D9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BC64C8">
          <w:pPr>
            <w:pStyle w:val="57"/>
            <w:ind w:firstLine="420"/>
          </w:pPr>
          <w:r>
            <w:rPr>
              <w:rFonts w:hint="eastAsia"/>
            </w:rPr>
            <w:t>本文件没有规范性引用文件。</w:t>
          </w:r>
        </w:p>
      </w:sdtContent>
    </w:sdt>
    <w:p w14:paraId="341FFB47">
      <w:pPr>
        <w:pStyle w:val="105"/>
        <w:spacing w:before="312" w:after="312"/>
      </w:pPr>
      <w:bookmarkStart w:id="42" w:name="_Toc177245239"/>
      <w:bookmarkStart w:id="43" w:name="_Toc178086504"/>
      <w:r>
        <w:rPr>
          <w:rFonts w:hint="eastAsia"/>
          <w:szCs w:val="21"/>
        </w:rPr>
        <w:t>术语和定义</w:t>
      </w:r>
      <w:bookmarkEnd w:id="42"/>
      <w:bookmarkEnd w:id="43"/>
    </w:p>
    <w:sdt>
      <w:sdtPr>
        <w:id w:val="-1909835108"/>
        <w:placeholder>
          <w:docPart w:val="851E260BF17C4B5A838A6E2EE293C5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37FB7E6">
          <w:pPr>
            <w:pStyle w:val="57"/>
            <w:ind w:firstLine="420"/>
          </w:pPr>
          <w:bookmarkStart w:id="44" w:name="_Toc26986532"/>
          <w:bookmarkEnd w:id="44"/>
          <w:r>
            <w:t>下列术语和定义适用于本文件。</w:t>
          </w:r>
        </w:p>
      </w:sdtContent>
    </w:sdt>
    <w:p w14:paraId="6358A232">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政府合同  government contract</w:t>
      </w:r>
    </w:p>
    <w:p w14:paraId="4D72BD65">
      <w:pPr>
        <w:pStyle w:val="57"/>
        <w:ind w:firstLine="420"/>
      </w:pPr>
      <w:r>
        <w:rPr>
          <w:rFonts w:hint="eastAsia"/>
        </w:rPr>
        <w:t>政府及其工作部门在行政管理、公共服务以及民事经济活动中，作为一方当事人与自然人、法人、非法人组织所订立的协议以及涉及双方权利义务关系的意向书、承诺书、备忘录等具有契约属性的法律文件。</w:t>
      </w:r>
    </w:p>
    <w:p w14:paraId="034E7F68">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行政协议  administrative agreement</w:t>
      </w:r>
    </w:p>
    <w:p w14:paraId="1B8E1035">
      <w:pPr>
        <w:pStyle w:val="57"/>
        <w:ind w:firstLine="420"/>
      </w:pPr>
      <w:r>
        <w:rPr>
          <w:rFonts w:hint="eastAsia"/>
        </w:rPr>
        <w:t>行政机关为了实现行政管理或者公共服务目标，与公民、法人或者其他组织协商订立的具有行政法上权利义务内容的协议。</w:t>
      </w:r>
    </w:p>
    <w:p w14:paraId="41719480">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民事合同  civil contract</w:t>
      </w:r>
    </w:p>
    <w:p w14:paraId="7BAE8935">
      <w:pPr>
        <w:pStyle w:val="57"/>
        <w:ind w:firstLine="420"/>
      </w:pPr>
      <w:r>
        <w:rPr>
          <w:rFonts w:hint="eastAsia"/>
        </w:rPr>
        <w:t>政府及其工作部门作为一方当事人，与自然人、法人、非法人组织签订的产生民事法律效果的协议。</w:t>
      </w:r>
    </w:p>
    <w:p w14:paraId="7017FF64">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政府合同标的  government contract subject matter</w:t>
      </w:r>
    </w:p>
    <w:p w14:paraId="10BA170D">
      <w:pPr>
        <w:pStyle w:val="57"/>
        <w:ind w:firstLine="420"/>
      </w:pPr>
      <w:r>
        <w:rPr>
          <w:rFonts w:hint="eastAsia"/>
        </w:rPr>
        <w:t>一方支付价款、报酬或赋予相对方特定权利，以获得相对方提供的对价。相对方的对价通常为提供产品、转移财产所有权或使用权、完成特定工作或工程、提供运营管理或服务等。</w:t>
      </w:r>
    </w:p>
    <w:p w14:paraId="46772099">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合法性审核  legitimacy review</w:t>
      </w:r>
    </w:p>
    <w:p w14:paraId="1585C3DE">
      <w:pPr>
        <w:pStyle w:val="57"/>
        <w:ind w:firstLine="420"/>
      </w:pPr>
      <w:r>
        <w:rPr>
          <w:rFonts w:hint="eastAsia"/>
        </w:rPr>
        <w:t>司法行政部门或者政府工作部门法制处室对政府合同的订立主体、起草和订立程序、订立权限以及具体内容是否符合相关法律、法规、规章等进行合法性审核。</w:t>
      </w:r>
    </w:p>
    <w:p w14:paraId="099540DA">
      <w:pPr>
        <w:pStyle w:val="105"/>
        <w:spacing w:before="312" w:after="312"/>
      </w:pPr>
      <w:bookmarkStart w:id="45" w:name="_Toc177245240"/>
      <w:bookmarkStart w:id="46" w:name="_Toc177153419"/>
      <w:bookmarkStart w:id="47" w:name="_Toc178086505"/>
      <w:r>
        <w:rPr>
          <w:rFonts w:hint="eastAsia"/>
        </w:rPr>
        <w:t>总体</w:t>
      </w:r>
      <w:bookmarkStart w:id="48" w:name="_Hlk140849802"/>
      <w:r>
        <w:rPr>
          <w:rFonts w:hint="eastAsia"/>
        </w:rPr>
        <w:t>原则</w:t>
      </w:r>
      <w:bookmarkEnd w:id="45"/>
      <w:bookmarkEnd w:id="46"/>
      <w:bookmarkEnd w:id="47"/>
    </w:p>
    <w:p w14:paraId="33C865C9">
      <w:pPr>
        <w:pStyle w:val="106"/>
        <w:spacing w:before="156" w:after="156"/>
        <w:rPr>
          <w:rFonts w:hAnsi="宋体" w:cs="宋体"/>
          <w:spacing w:val="-7"/>
        </w:rPr>
      </w:pPr>
      <w:r>
        <w:rPr>
          <w:rFonts w:hint="eastAsia"/>
          <w:spacing w:val="-7"/>
        </w:rPr>
        <w:t>全面审核</w:t>
      </w:r>
    </w:p>
    <w:p w14:paraId="38492C53">
      <w:pPr>
        <w:pStyle w:val="57"/>
        <w:ind w:firstLine="420"/>
        <w:rPr>
          <w:rFonts w:ascii="黑体" w:hAnsi="黑体" w:eastAsia="黑体" w:cs="黑体"/>
        </w:rPr>
      </w:pPr>
      <w:r>
        <w:rPr>
          <w:rFonts w:hint="eastAsia"/>
        </w:rPr>
        <w:t>对政府合同的各个方面，包括主体资格及权限、订立程序、合同内容等进行全方位审核。</w:t>
      </w:r>
    </w:p>
    <w:p w14:paraId="2D2C0866">
      <w:pPr>
        <w:pStyle w:val="106"/>
        <w:spacing w:before="156" w:after="156"/>
      </w:pPr>
      <w:r>
        <w:rPr>
          <w:rFonts w:hint="eastAsia"/>
        </w:rPr>
        <w:t>注重实效</w:t>
      </w:r>
    </w:p>
    <w:p w14:paraId="33EDDEF8">
      <w:pPr>
        <w:pStyle w:val="57"/>
        <w:ind w:firstLine="420"/>
        <w:rPr>
          <w:rFonts w:ascii="黑体" w:hAnsi="黑体" w:eastAsia="黑体" w:cs="黑体"/>
        </w:rPr>
      </w:pPr>
      <w:r>
        <w:rPr>
          <w:rFonts w:hint="eastAsia"/>
        </w:rPr>
        <w:t>不仅要确保政府合同形式上合法，更要关注其在实际执行中是否能够切实保障国家利益和公共利益，是否有利于节约资源、保护生态环境。</w:t>
      </w:r>
    </w:p>
    <w:p w14:paraId="65250F58">
      <w:pPr>
        <w:pStyle w:val="106"/>
        <w:spacing w:before="156" w:after="156"/>
      </w:pPr>
      <w:r>
        <w:rPr>
          <w:rFonts w:hint="eastAsia"/>
        </w:rPr>
        <w:t>防范风险</w:t>
      </w:r>
    </w:p>
    <w:p w14:paraId="1F70BA75">
      <w:pPr>
        <w:pStyle w:val="57"/>
        <w:ind w:firstLine="420"/>
        <w:rPr>
          <w:rFonts w:ascii="黑体" w:hAnsi="黑体" w:eastAsia="黑体" w:cs="黑体"/>
        </w:rPr>
      </w:pPr>
      <w:r>
        <w:rPr>
          <w:rFonts w:hint="eastAsia"/>
        </w:rPr>
        <w:t>始终将风险防范放在重要位置，通过合法性审核提前识别和化解潜在风险。</w:t>
      </w:r>
    </w:p>
    <w:bookmarkEnd w:id="48"/>
    <w:p w14:paraId="7AFCDBF5">
      <w:pPr>
        <w:pStyle w:val="105"/>
        <w:spacing w:before="312" w:after="312"/>
      </w:pPr>
      <w:bookmarkStart w:id="49" w:name="_Toc177245241"/>
      <w:bookmarkStart w:id="50" w:name="_Toc177153420"/>
      <w:bookmarkStart w:id="51" w:name="_Toc178086506"/>
      <w:r>
        <w:rPr>
          <w:rFonts w:hint="eastAsia"/>
        </w:rPr>
        <w:t>审核范围</w:t>
      </w:r>
      <w:bookmarkEnd w:id="49"/>
      <w:bookmarkEnd w:id="50"/>
      <w:bookmarkEnd w:id="51"/>
    </w:p>
    <w:p w14:paraId="6F62601E">
      <w:pPr>
        <w:pStyle w:val="106"/>
        <w:spacing w:before="156" w:after="156"/>
      </w:pPr>
      <w:r>
        <w:rPr>
          <w:rFonts w:hint="eastAsia"/>
        </w:rPr>
        <w:t>政府合同</w:t>
      </w:r>
    </w:p>
    <w:p w14:paraId="21F81C78">
      <w:pPr>
        <w:pStyle w:val="57"/>
        <w:ind w:firstLine="420"/>
      </w:pPr>
      <w:r>
        <w:rPr>
          <w:rFonts w:hint="eastAsia"/>
        </w:rPr>
        <w:t>包括行政协议和民事合同两类，包括但不限于以下类型：</w:t>
      </w:r>
    </w:p>
    <w:p w14:paraId="34716B9B">
      <w:pPr>
        <w:pStyle w:val="175"/>
      </w:pPr>
      <w:r>
        <w:rPr>
          <w:rFonts w:hint="eastAsia"/>
        </w:rPr>
        <w:t>国有资产（包括无形资产）的投资、建设、租赁、出让等合同；</w:t>
      </w:r>
    </w:p>
    <w:p w14:paraId="3088B249">
      <w:pPr>
        <w:pStyle w:val="175"/>
      </w:pPr>
      <w:r>
        <w:rPr>
          <w:rFonts w:hint="eastAsia"/>
        </w:rPr>
        <w:t>土地、海域、滩涂等国有自然资源使用权的出让、转让、租赁、承包合同；</w:t>
      </w:r>
    </w:p>
    <w:p w14:paraId="32B48D88">
      <w:pPr>
        <w:pStyle w:val="175"/>
      </w:pPr>
      <w:r>
        <w:rPr>
          <w:rFonts w:hint="eastAsia"/>
        </w:rPr>
        <w:t>政府特许经营合同、政府和社会资本合作（PPP）项目合同；</w:t>
      </w:r>
    </w:p>
    <w:p w14:paraId="0FD08C69">
      <w:pPr>
        <w:pStyle w:val="175"/>
      </w:pPr>
      <w:r>
        <w:rPr>
          <w:rFonts w:hint="eastAsia"/>
        </w:rPr>
        <w:t>行政征收、征用合同；</w:t>
      </w:r>
    </w:p>
    <w:p w14:paraId="101F9ECC">
      <w:pPr>
        <w:pStyle w:val="175"/>
      </w:pPr>
      <w:r>
        <w:rPr>
          <w:rFonts w:hint="eastAsia"/>
        </w:rPr>
        <w:t>科研、咨询、会展等委托服务合同；</w:t>
      </w:r>
    </w:p>
    <w:p w14:paraId="38AD7988">
      <w:pPr>
        <w:pStyle w:val="175"/>
      </w:pPr>
      <w:r>
        <w:rPr>
          <w:rFonts w:hint="eastAsia"/>
        </w:rPr>
        <w:t>政府招商引资合同；</w:t>
      </w:r>
    </w:p>
    <w:p w14:paraId="43B12F1A">
      <w:pPr>
        <w:pStyle w:val="175"/>
      </w:pPr>
      <w:r>
        <w:rPr>
          <w:rFonts w:hint="eastAsia"/>
        </w:rPr>
        <w:t>政府间交流合作合同；</w:t>
      </w:r>
    </w:p>
    <w:p w14:paraId="1EC200A0">
      <w:pPr>
        <w:pStyle w:val="175"/>
      </w:pPr>
      <w:r>
        <w:rPr>
          <w:rFonts w:hint="eastAsia"/>
        </w:rPr>
        <w:t>其他政府合同。</w:t>
      </w:r>
    </w:p>
    <w:p w14:paraId="283EFA9B">
      <w:pPr>
        <w:pStyle w:val="106"/>
        <w:spacing w:before="156" w:after="156"/>
        <w:rPr>
          <w:rFonts w:ascii="宋体" w:hAnsi="宋体" w:cs="宋体"/>
          <w:spacing w:val="-12"/>
        </w:rPr>
      </w:pPr>
      <w:r>
        <w:rPr>
          <w:rFonts w:hint="eastAsia"/>
        </w:rPr>
        <w:t>通过招标、拍卖、挂牌、政府采购等法律文件的审核</w:t>
      </w:r>
    </w:p>
    <w:p w14:paraId="5F2D57C2">
      <w:pPr>
        <w:pStyle w:val="57"/>
        <w:ind w:firstLine="420"/>
      </w:pPr>
      <w:r>
        <w:rPr>
          <w:rFonts w:hint="eastAsia"/>
        </w:rPr>
        <w:t>需要通过招标、拍卖、挂牌、政府采购等法律程序确定合同相对人的，相关法律文书在招标、拍卖、挂牌、政府采购前进行合法性审核。</w:t>
      </w:r>
    </w:p>
    <w:p w14:paraId="5F852AC7">
      <w:pPr>
        <w:pStyle w:val="106"/>
        <w:spacing w:before="156" w:after="156"/>
      </w:pPr>
      <w:r>
        <w:rPr>
          <w:rFonts w:hint="eastAsia"/>
        </w:rPr>
        <w:t>除外情形</w:t>
      </w:r>
    </w:p>
    <w:p w14:paraId="716DAD0C">
      <w:pPr>
        <w:pStyle w:val="57"/>
        <w:ind w:firstLine="420"/>
      </w:pPr>
      <w:r>
        <w:rPr>
          <w:rFonts w:hint="eastAsia"/>
        </w:rPr>
        <w:t>行政机关与其工作人员所签订的聘用、聘任等人事管理合同，以及因应对突发事件而采取应急措施订立的合同不纳入合法性审核范围。</w:t>
      </w:r>
    </w:p>
    <w:p w14:paraId="1928FA82">
      <w:pPr>
        <w:pStyle w:val="105"/>
        <w:spacing w:before="312" w:after="312"/>
      </w:pPr>
      <w:bookmarkStart w:id="52" w:name="_Toc177153421"/>
      <w:bookmarkStart w:id="53" w:name="_Toc177245242"/>
      <w:bookmarkStart w:id="54" w:name="_Toc178086507"/>
      <w:r>
        <w:rPr>
          <w:rFonts w:hint="eastAsia"/>
        </w:rPr>
        <w:t>审核机构与审核方式</w:t>
      </w:r>
      <w:bookmarkEnd w:id="52"/>
      <w:bookmarkEnd w:id="53"/>
      <w:bookmarkEnd w:id="54"/>
    </w:p>
    <w:p w14:paraId="43D7EF91">
      <w:pPr>
        <w:pStyle w:val="106"/>
        <w:spacing w:before="156" w:after="156"/>
        <w:rPr>
          <w:rFonts w:ascii="宋体" w:eastAsia="宋体"/>
        </w:rPr>
      </w:pPr>
      <w:r>
        <w:rPr>
          <w:rFonts w:hint="eastAsia"/>
        </w:rPr>
        <w:t>审核机构</w:t>
      </w:r>
    </w:p>
    <w:p w14:paraId="015D09FB">
      <w:pPr>
        <w:pStyle w:val="166"/>
      </w:pPr>
      <w:r>
        <w:rPr>
          <w:rFonts w:hint="eastAsia"/>
        </w:rPr>
        <w:t>市政府确定的审核部门负责以政府为一方当事人的政府合同的合法性审核；</w:t>
      </w:r>
    </w:p>
    <w:p w14:paraId="08D60CB7">
      <w:pPr>
        <w:pStyle w:val="166"/>
      </w:pPr>
      <w:r>
        <w:rPr>
          <w:rFonts w:hint="eastAsia"/>
        </w:rPr>
        <w:t>政府工作部门确定的处室负责以本部门为一方当事人的政府合同以及需要提交政府批准的政府合同的合法性审核。</w:t>
      </w:r>
    </w:p>
    <w:p w14:paraId="0313D0A1">
      <w:pPr>
        <w:pStyle w:val="106"/>
        <w:spacing w:before="156" w:after="156"/>
      </w:pPr>
      <w:r>
        <w:rPr>
          <w:rFonts w:hint="eastAsia"/>
        </w:rPr>
        <w:t>审核方式</w:t>
      </w:r>
    </w:p>
    <w:p w14:paraId="478BE9EE">
      <w:pPr>
        <w:pStyle w:val="166"/>
      </w:pPr>
      <w:r>
        <w:rPr>
          <w:rFonts w:hint="eastAsia"/>
        </w:rPr>
        <w:t>审核采用书面形式。</w:t>
      </w:r>
    </w:p>
    <w:p w14:paraId="75EDE065">
      <w:pPr>
        <w:pStyle w:val="166"/>
      </w:pPr>
      <w:r>
        <w:rPr>
          <w:rFonts w:hint="eastAsia"/>
        </w:rPr>
        <w:t>必要时可通过实地考察、召开座谈会等方式开展调研论证。</w:t>
      </w:r>
    </w:p>
    <w:p w14:paraId="13FBFB6E">
      <w:pPr>
        <w:pStyle w:val="166"/>
      </w:pPr>
      <w:r>
        <w:rPr>
          <w:rFonts w:hint="eastAsia"/>
        </w:rPr>
        <w:t>审核过程中，审核机构可以要求承办部门就有关问题作书面说明。对涉及重大复杂或者疑难问题的，审核机构可以委托专家或者专业服务机构出具咨询意见。</w:t>
      </w:r>
    </w:p>
    <w:p w14:paraId="723F153A">
      <w:pPr>
        <w:pStyle w:val="105"/>
        <w:spacing w:before="312" w:after="312"/>
        <w:rPr>
          <w:rFonts w:hAnsi="黑体" w:cs="黑体"/>
        </w:rPr>
      </w:pPr>
      <w:bookmarkStart w:id="55" w:name="_Toc177153422"/>
      <w:bookmarkStart w:id="56" w:name="_Toc177245243"/>
      <w:bookmarkStart w:id="57" w:name="_Toc178086508"/>
      <w:r>
        <w:rPr>
          <w:rFonts w:hint="eastAsia"/>
        </w:rPr>
        <w:t>审核程序</w:t>
      </w:r>
      <w:bookmarkEnd w:id="55"/>
      <w:bookmarkEnd w:id="56"/>
      <w:bookmarkEnd w:id="57"/>
    </w:p>
    <w:p w14:paraId="585D7291">
      <w:pPr>
        <w:pStyle w:val="106"/>
        <w:spacing w:before="156" w:after="156"/>
      </w:pPr>
      <w:r>
        <w:rPr>
          <w:rFonts w:hint="eastAsia"/>
        </w:rPr>
        <w:t>提交材料</w:t>
      </w:r>
    </w:p>
    <w:p w14:paraId="7959EC38">
      <w:pPr>
        <w:pStyle w:val="166"/>
      </w:pPr>
      <w:r>
        <w:rPr>
          <w:rFonts w:hint="eastAsia"/>
        </w:rPr>
        <w:t>审核机构对送审材料的完整性进行审核，送审材料包括但不限于：</w:t>
      </w:r>
    </w:p>
    <w:p w14:paraId="48191422">
      <w:pPr>
        <w:pStyle w:val="175"/>
        <w:numPr>
          <w:ilvl w:val="0"/>
          <w:numId w:val="32"/>
        </w:numPr>
      </w:pPr>
      <w:r>
        <w:rPr>
          <w:rFonts w:hint="eastAsia"/>
        </w:rPr>
        <w:t>送审函；</w:t>
      </w:r>
    </w:p>
    <w:p w14:paraId="324ADF6B">
      <w:pPr>
        <w:pStyle w:val="175"/>
      </w:pPr>
      <w:r>
        <w:rPr>
          <w:rFonts w:hint="eastAsia"/>
        </w:rPr>
        <w:t>政府合同文本草案；</w:t>
      </w:r>
    </w:p>
    <w:p w14:paraId="0D57027A">
      <w:pPr>
        <w:pStyle w:val="175"/>
      </w:pPr>
      <w:r>
        <w:rPr>
          <w:rFonts w:hint="eastAsia"/>
        </w:rPr>
        <w:t>政府</w:t>
      </w:r>
      <w:r>
        <w:t>合同附件；</w:t>
      </w:r>
    </w:p>
    <w:p w14:paraId="3A7C5DE8">
      <w:pPr>
        <w:pStyle w:val="175"/>
      </w:pPr>
      <w:r>
        <w:t>与</w:t>
      </w:r>
      <w:r>
        <w:rPr>
          <w:rFonts w:hint="eastAsia"/>
        </w:rPr>
        <w:t>政府</w:t>
      </w:r>
      <w:r>
        <w:t>合同有关的材料</w:t>
      </w:r>
      <w:r>
        <w:rPr>
          <w:rFonts w:hint="eastAsia"/>
        </w:rPr>
        <w:t>。</w:t>
      </w:r>
      <w:r>
        <w:t>包</w:t>
      </w:r>
      <w:r>
        <w:rPr>
          <w:rFonts w:hint="eastAsia"/>
        </w:rPr>
        <w:t>括但不限</w:t>
      </w:r>
      <w:r>
        <w:t>于：</w:t>
      </w:r>
    </w:p>
    <w:p w14:paraId="7F4BC4F3">
      <w:pPr>
        <w:pStyle w:val="110"/>
      </w:pPr>
      <w:r>
        <w:t>有关法律、法规、规章及政策文件；</w:t>
      </w:r>
    </w:p>
    <w:p w14:paraId="6BDDB13C">
      <w:pPr>
        <w:pStyle w:val="110"/>
      </w:pPr>
      <w:r>
        <w:t>相关部门或</w:t>
      </w:r>
      <w:r>
        <w:rPr>
          <w:rFonts w:hint="eastAsia"/>
        </w:rPr>
        <w:t>者</w:t>
      </w:r>
      <w:r>
        <w:t>利害关系人的意见材料；</w:t>
      </w:r>
    </w:p>
    <w:p w14:paraId="063A7084">
      <w:pPr>
        <w:pStyle w:val="110"/>
      </w:pPr>
      <w:r>
        <w:t>合同对方当事人的选定材料及对方当事人资质情况、履约能力</w:t>
      </w:r>
      <w:r>
        <w:rPr>
          <w:rFonts w:hint="eastAsia"/>
        </w:rPr>
        <w:t>等</w:t>
      </w:r>
      <w:r>
        <w:t>材料；</w:t>
      </w:r>
    </w:p>
    <w:p w14:paraId="3061F5CF">
      <w:pPr>
        <w:pStyle w:val="110"/>
      </w:pPr>
      <w:r>
        <w:t>专业机构的咨询意见及</w:t>
      </w:r>
      <w:r>
        <w:rPr>
          <w:rFonts w:hint="eastAsia"/>
        </w:rPr>
        <w:t>承办部门</w:t>
      </w:r>
      <w:r>
        <w:t>法律顾问的</w:t>
      </w:r>
      <w:r>
        <w:rPr>
          <w:rFonts w:hint="eastAsia"/>
        </w:rPr>
        <w:t>审核</w:t>
      </w:r>
      <w:r>
        <w:t>意见。</w:t>
      </w:r>
    </w:p>
    <w:p w14:paraId="1FAD4450">
      <w:pPr>
        <w:pStyle w:val="110"/>
      </w:pPr>
      <w:r>
        <w:rPr>
          <w:rFonts w:hint="eastAsia"/>
        </w:rPr>
        <w:t>风险评估、公平竞争审查、专家论证等材料；</w:t>
      </w:r>
    </w:p>
    <w:p w14:paraId="3C415DDB">
      <w:pPr>
        <w:pStyle w:val="110"/>
      </w:pPr>
      <w:r>
        <w:rPr>
          <w:rFonts w:hint="eastAsia"/>
        </w:rPr>
        <w:t>政府合同谈判、协商的相关材料；</w:t>
      </w:r>
    </w:p>
    <w:p w14:paraId="1315812A">
      <w:pPr>
        <w:pStyle w:val="110"/>
      </w:pPr>
      <w:r>
        <w:rPr>
          <w:rFonts w:hint="eastAsia"/>
        </w:rPr>
        <w:t>其他需要提交的材料。</w:t>
      </w:r>
    </w:p>
    <w:p w14:paraId="004E4C8C">
      <w:pPr>
        <w:pStyle w:val="166"/>
        <w:rPr>
          <w:rFonts w:ascii="黑体" w:hAnsi="黑体" w:eastAsia="黑体" w:cs="黑体"/>
          <w:spacing w:val="-7"/>
        </w:rPr>
      </w:pPr>
      <w:r>
        <w:rPr>
          <w:rFonts w:hint="eastAsia"/>
        </w:rPr>
        <w:t>承办部门对送审材料的真实性、准确性、完整性负责。</w:t>
      </w:r>
    </w:p>
    <w:p w14:paraId="0F52D577">
      <w:pPr>
        <w:pStyle w:val="166"/>
      </w:pPr>
      <w:r>
        <w:rPr>
          <w:rFonts w:hint="eastAsia"/>
        </w:rPr>
        <w:t>以政府为一方当事人对外签订的政府合同，或者由政府工作部门报请政府批准后以工作部门为一方当事人对外签订的政府合同，承办部门送审时，提供承办部门法制处室出具的合法性审核意见。</w:t>
      </w:r>
    </w:p>
    <w:p w14:paraId="45C14237">
      <w:pPr>
        <w:pStyle w:val="106"/>
        <w:spacing w:before="156" w:after="156"/>
      </w:pPr>
      <w:r>
        <w:rPr>
          <w:rFonts w:hint="eastAsia"/>
        </w:rPr>
        <w:t>合同文本草案</w:t>
      </w:r>
    </w:p>
    <w:p w14:paraId="63C2B12E">
      <w:pPr>
        <w:pStyle w:val="57"/>
        <w:ind w:firstLine="420"/>
      </w:pPr>
      <w:r>
        <w:t>对有国家、省、市合同示范文本的合同类型，</w:t>
      </w:r>
      <w:r>
        <w:rPr>
          <w:rFonts w:hint="eastAsia"/>
        </w:rPr>
        <w:t>审核</w:t>
      </w:r>
      <w:r>
        <w:t>发现未采用示范文本的，告知承办</w:t>
      </w:r>
      <w:r>
        <w:rPr>
          <w:rFonts w:hint="eastAsia"/>
        </w:rPr>
        <w:t>部门</w:t>
      </w:r>
      <w:r>
        <w:t>修改后再次送审。</w:t>
      </w:r>
      <w:r>
        <w:rPr>
          <w:rFonts w:hint="eastAsia"/>
        </w:rPr>
        <w:t>合同文本草案不完整，缺少主要条款的，</w:t>
      </w:r>
      <w:r>
        <w:t>告知承办</w:t>
      </w:r>
      <w:r>
        <w:rPr>
          <w:rFonts w:hint="eastAsia"/>
        </w:rPr>
        <w:t>部门</w:t>
      </w:r>
      <w:r>
        <w:t>修改后再次送审</w:t>
      </w:r>
      <w:r>
        <w:rPr>
          <w:rFonts w:hint="eastAsia"/>
        </w:rPr>
        <w:t>。</w:t>
      </w:r>
    </w:p>
    <w:p w14:paraId="37E13330">
      <w:pPr>
        <w:pStyle w:val="106"/>
        <w:spacing w:before="156" w:after="156"/>
      </w:pPr>
      <w:r>
        <w:rPr>
          <w:rFonts w:hint="eastAsia"/>
        </w:rPr>
        <w:t>审核期限</w:t>
      </w:r>
    </w:p>
    <w:p w14:paraId="222E2CE5">
      <w:pPr>
        <w:pStyle w:val="166"/>
      </w:pPr>
      <w:r>
        <w:rPr>
          <w:rFonts w:hint="eastAsia"/>
        </w:rPr>
        <w:t xml:space="preserve"> 审核机构应在收到送审材料之日起5个工作日内完成审核工作，并出具审核意见。</w:t>
      </w:r>
    </w:p>
    <w:p w14:paraId="39E4E3D0">
      <w:pPr>
        <w:pStyle w:val="166"/>
      </w:pPr>
      <w:r>
        <w:rPr>
          <w:rFonts w:hint="eastAsia"/>
        </w:rPr>
        <w:t xml:space="preserve"> 情况复杂的，经分管领导同意，可以适当延长，但是延长审核期限不应超过10个工作日。</w:t>
      </w:r>
    </w:p>
    <w:p w14:paraId="725FF4E1">
      <w:pPr>
        <w:pStyle w:val="166"/>
      </w:pPr>
      <w:r>
        <w:rPr>
          <w:rFonts w:hint="eastAsia"/>
        </w:rPr>
        <w:t xml:space="preserve"> 审核过程中承办部门补充材料、征求意见、专家论证等时间不计算在内。</w:t>
      </w:r>
    </w:p>
    <w:p w14:paraId="7EB13DD4">
      <w:pPr>
        <w:pStyle w:val="166"/>
      </w:pPr>
      <w:r>
        <w:rPr>
          <w:rFonts w:hint="eastAsia"/>
        </w:rPr>
        <w:t>审核过程中，存在下列影响审核情形之一的，可以中止审核，待相关情形消除后恢复审核：</w:t>
      </w:r>
    </w:p>
    <w:p w14:paraId="551190C1">
      <w:pPr>
        <w:pStyle w:val="175"/>
        <w:numPr>
          <w:ilvl w:val="0"/>
          <w:numId w:val="33"/>
        </w:numPr>
      </w:pPr>
      <w:r>
        <w:rPr>
          <w:rFonts w:hint="eastAsia"/>
        </w:rPr>
        <w:t xml:space="preserve"> 需要补充送审材料的；</w:t>
      </w:r>
    </w:p>
    <w:p w14:paraId="29E8003F">
      <w:pPr>
        <w:pStyle w:val="175"/>
      </w:pPr>
      <w:r>
        <w:rPr>
          <w:rFonts w:hint="eastAsia"/>
        </w:rPr>
        <w:t xml:space="preserve"> 需要另外征求其他有关单位意见的；</w:t>
      </w:r>
    </w:p>
    <w:p w14:paraId="24538594">
      <w:pPr>
        <w:pStyle w:val="175"/>
      </w:pPr>
      <w:r>
        <w:rPr>
          <w:rFonts w:hint="eastAsia"/>
        </w:rPr>
        <w:t xml:space="preserve"> 需要重新磋商合同有关内容的；</w:t>
      </w:r>
    </w:p>
    <w:p w14:paraId="1831C68C">
      <w:pPr>
        <w:pStyle w:val="175"/>
      </w:pPr>
      <w:r>
        <w:rPr>
          <w:rFonts w:hint="eastAsia"/>
        </w:rPr>
        <w:t xml:space="preserve"> 需要进行风险评估的；</w:t>
      </w:r>
    </w:p>
    <w:p w14:paraId="75B5C8A5">
      <w:pPr>
        <w:pStyle w:val="175"/>
      </w:pPr>
      <w:r>
        <w:rPr>
          <w:rFonts w:hint="eastAsia"/>
        </w:rPr>
        <w:t xml:space="preserve"> 需要组织相关专家学者论证的；</w:t>
      </w:r>
    </w:p>
    <w:p w14:paraId="6531F0E0">
      <w:pPr>
        <w:pStyle w:val="175"/>
      </w:pPr>
      <w:r>
        <w:rPr>
          <w:rFonts w:hint="eastAsia"/>
        </w:rPr>
        <w:t xml:space="preserve"> 需要中止审核的其他情形。</w:t>
      </w:r>
    </w:p>
    <w:p w14:paraId="119B059E">
      <w:pPr>
        <w:pStyle w:val="166"/>
      </w:pPr>
      <w:r>
        <w:rPr>
          <w:rFonts w:hint="eastAsia"/>
        </w:rPr>
        <w:t>审核机构认为需要补充送审材料的，书面通知承办部门，承办部门应在收到通知之日起3个工作日内补齐相关材料；承办部门3个工作日内未能补齐相关材料的，审核机构可以退回承办部门。</w:t>
      </w:r>
    </w:p>
    <w:p w14:paraId="7BB3DA8D">
      <w:pPr>
        <w:pStyle w:val="166"/>
        <w:rPr>
          <w:rFonts w:ascii="黑体" w:eastAsia="黑体"/>
        </w:rPr>
      </w:pPr>
      <w:r>
        <w:rPr>
          <w:rFonts w:hint="eastAsia"/>
        </w:rPr>
        <w:t>审核过程中，审核机构就审核材料有关问题向承办部门提出询问的，承办部门应在收到询问之日起3个工作日内作出书面答复，答复期限不计入审核期限。</w:t>
      </w:r>
    </w:p>
    <w:p w14:paraId="53A9ECD8">
      <w:pPr>
        <w:pStyle w:val="105"/>
        <w:spacing w:before="312" w:after="312"/>
      </w:pPr>
      <w:bookmarkStart w:id="58" w:name="_Toc177153423"/>
      <w:bookmarkStart w:id="59" w:name="_Toc177245244"/>
      <w:bookmarkStart w:id="60" w:name="_Toc178086509"/>
      <w:r>
        <w:rPr>
          <w:rFonts w:hint="eastAsia"/>
        </w:rPr>
        <w:t>合法性审核内容</w:t>
      </w:r>
      <w:bookmarkEnd w:id="58"/>
      <w:bookmarkEnd w:id="59"/>
      <w:bookmarkEnd w:id="60"/>
    </w:p>
    <w:p w14:paraId="6057721F">
      <w:pPr>
        <w:pStyle w:val="106"/>
        <w:spacing w:before="156" w:after="156"/>
      </w:pPr>
      <w:r>
        <w:t>合同名称</w:t>
      </w:r>
    </w:p>
    <w:p w14:paraId="449358B3">
      <w:pPr>
        <w:pStyle w:val="57"/>
        <w:ind w:firstLine="420"/>
      </w:pPr>
      <w:r>
        <w:t>合同名</w:t>
      </w:r>
      <w:r>
        <w:rPr>
          <w:rFonts w:hint="eastAsia"/>
        </w:rPr>
        <w:t>称应符</w:t>
      </w:r>
      <w:r>
        <w:t>合以下要求：</w:t>
      </w:r>
    </w:p>
    <w:p w14:paraId="0A0A55B5">
      <w:pPr>
        <w:pStyle w:val="175"/>
        <w:numPr>
          <w:ilvl w:val="0"/>
          <w:numId w:val="34"/>
        </w:numPr>
      </w:pPr>
      <w:r>
        <w:t>合同名称与合同内容、属性一致；</w:t>
      </w:r>
    </w:p>
    <w:p w14:paraId="45BDDBB1">
      <w:pPr>
        <w:pStyle w:val="175"/>
      </w:pPr>
      <w:r>
        <w:t>属于《中华人民共和国</w:t>
      </w:r>
      <w:r>
        <w:rPr>
          <w:rFonts w:hint="eastAsia"/>
        </w:rPr>
        <w:t>民</w:t>
      </w:r>
      <w:r>
        <w:t>法</w:t>
      </w:r>
      <w:r>
        <w:rPr>
          <w:rFonts w:hint="eastAsia"/>
        </w:rPr>
        <w:t>典</w:t>
      </w:r>
      <w:r>
        <w:t>》及其他法律</w:t>
      </w:r>
      <w:r>
        <w:rPr>
          <w:rFonts w:hint="eastAsia"/>
        </w:rPr>
        <w:t>、</w:t>
      </w:r>
      <w:r>
        <w:t>法规</w:t>
      </w:r>
      <w:r>
        <w:rPr>
          <w:rFonts w:hint="eastAsia"/>
        </w:rPr>
        <w:t>、</w:t>
      </w:r>
      <w:r>
        <w:t>规章规定的有名合同的，采用规范合同名称；</w:t>
      </w:r>
    </w:p>
    <w:p w14:paraId="2FEF6441">
      <w:pPr>
        <w:pStyle w:val="175"/>
        <w:rPr>
          <w:rFonts w:ascii="Helvetica Neue" w:hAnsi="Helvetica Neue" w:eastAsia="Helvetica Neue" w:cs="Helvetica Neue"/>
          <w:spacing w:val="20"/>
        </w:rPr>
      </w:pPr>
      <w:r>
        <w:t>无法确定合同名称的，可以只写协议书。</w:t>
      </w:r>
    </w:p>
    <w:p w14:paraId="25218A19">
      <w:pPr>
        <w:pStyle w:val="106"/>
        <w:spacing w:before="156" w:after="156"/>
      </w:pPr>
      <w:r>
        <w:t>合同主体</w:t>
      </w:r>
    </w:p>
    <w:p w14:paraId="08ACD4F1">
      <w:pPr>
        <w:pStyle w:val="57"/>
        <w:ind w:firstLine="0" w:firstLineChars="0"/>
      </w:pPr>
      <w:r>
        <w:rPr>
          <w:rFonts w:hint="eastAsia"/>
        </w:rPr>
        <w:t>8.2.1行政机关是市政府及其工作部门，以及法律法规授权的组织。</w:t>
      </w:r>
    </w:p>
    <w:p w14:paraId="57D7A4E1">
      <w:pPr>
        <w:pStyle w:val="57"/>
        <w:ind w:firstLine="0" w:firstLineChars="0"/>
      </w:pPr>
      <w:r>
        <w:rPr>
          <w:rFonts w:hint="eastAsia"/>
        </w:rPr>
        <w:t>8.2.2 合同相对方应符合以下要求：</w:t>
      </w:r>
    </w:p>
    <w:p w14:paraId="2CB5F844">
      <w:pPr>
        <w:pStyle w:val="175"/>
        <w:numPr>
          <w:ilvl w:val="0"/>
          <w:numId w:val="35"/>
        </w:numPr>
      </w:pPr>
      <w:r>
        <w:t>具有主体资格，临时机构、内设机构不得作为合同当事人</w:t>
      </w:r>
      <w:r>
        <w:rPr>
          <w:rFonts w:hint="eastAsia"/>
        </w:rPr>
        <w:t>；合同相对方是分支机构的，提供该分支机构的设立批准文件、注册登记资料、经营或者执业资质证书等材料，以及隶属公司的营业执照、拨款证明、公司章程等材料</w:t>
      </w:r>
      <w:r>
        <w:t>；</w:t>
      </w:r>
    </w:p>
    <w:p w14:paraId="5063643F">
      <w:pPr>
        <w:pStyle w:val="175"/>
      </w:pPr>
      <w:r>
        <w:rPr>
          <w:rFonts w:hint="eastAsia"/>
        </w:rPr>
        <w:t>对合同相对方</w:t>
      </w:r>
      <w:r>
        <w:t>有</w:t>
      </w:r>
      <w:r>
        <w:rPr>
          <w:rFonts w:hint="eastAsia"/>
        </w:rPr>
        <w:t>特殊信誉、特殊条件或者特殊技能等资格、资质</w:t>
      </w:r>
      <w:r>
        <w:t>的，</w:t>
      </w:r>
      <w:r>
        <w:rPr>
          <w:rFonts w:hint="eastAsia"/>
        </w:rPr>
        <w:t>应</w:t>
      </w:r>
      <w:r>
        <w:t>满足特定资格</w:t>
      </w:r>
      <w:r>
        <w:rPr>
          <w:rFonts w:hint="eastAsia"/>
        </w:rPr>
        <w:t>、资质</w:t>
      </w:r>
      <w:r>
        <w:t>要求；</w:t>
      </w:r>
    </w:p>
    <w:p w14:paraId="37E65B55">
      <w:pPr>
        <w:pStyle w:val="175"/>
      </w:pPr>
      <w:r>
        <w:t>对于需要经许可方能从事的行业，相关许可文件满足许可要求；</w:t>
      </w:r>
    </w:p>
    <w:p w14:paraId="4C9524AF">
      <w:pPr>
        <w:pStyle w:val="175"/>
      </w:pPr>
      <w:r>
        <w:t>按有关规定需授权方可签订的重要</w:t>
      </w:r>
      <w:r>
        <w:rPr>
          <w:rFonts w:hint="eastAsia"/>
        </w:rPr>
        <w:t>政府</w:t>
      </w:r>
      <w:r>
        <w:t>合同，当事人</w:t>
      </w:r>
      <w:r>
        <w:rPr>
          <w:rFonts w:hint="eastAsia"/>
        </w:rPr>
        <w:t>应当</w:t>
      </w:r>
      <w:r>
        <w:t>取得签订和履行合同的相应授权</w:t>
      </w:r>
      <w:r>
        <w:rPr>
          <w:rFonts w:hint="eastAsia"/>
        </w:rPr>
        <w:t>（法定代理人除外）；</w:t>
      </w:r>
    </w:p>
    <w:p w14:paraId="7B0CEB41">
      <w:pPr>
        <w:pStyle w:val="175"/>
      </w:pPr>
      <w:r>
        <w:rPr>
          <w:rFonts w:hint="eastAsia"/>
        </w:rPr>
        <w:t>当事人不得超越职权或者授权范围。</w:t>
      </w:r>
    </w:p>
    <w:p w14:paraId="6CB66F4C">
      <w:pPr>
        <w:pStyle w:val="106"/>
        <w:spacing w:before="156" w:after="156"/>
      </w:pPr>
      <w:r>
        <w:t>合同标的</w:t>
      </w:r>
    </w:p>
    <w:p w14:paraId="6D68C8EC">
      <w:pPr>
        <w:pStyle w:val="57"/>
        <w:ind w:firstLine="420"/>
      </w:pPr>
      <w:r>
        <w:t>合同标的</w:t>
      </w:r>
      <w:r>
        <w:rPr>
          <w:rFonts w:hint="eastAsia"/>
        </w:rPr>
        <w:t>应</w:t>
      </w:r>
      <w:r>
        <w:t>符合以下要求：</w:t>
      </w:r>
    </w:p>
    <w:p w14:paraId="2C383D45">
      <w:pPr>
        <w:pStyle w:val="175"/>
        <w:numPr>
          <w:ilvl w:val="0"/>
          <w:numId w:val="36"/>
        </w:numPr>
      </w:pPr>
      <w:r>
        <w:t>合同标的设定不得违</w:t>
      </w:r>
      <w:r>
        <w:rPr>
          <w:rFonts w:hint="eastAsia"/>
        </w:rPr>
        <w:t>反法律、法规的规定，不得损害国家利益和公共利益，不得违背公序良俗</w:t>
      </w:r>
      <w:r>
        <w:t>；</w:t>
      </w:r>
    </w:p>
    <w:p w14:paraId="3FBCB464">
      <w:pPr>
        <w:pStyle w:val="175"/>
      </w:pPr>
      <w:r>
        <w:t>合同标的具体</w:t>
      </w:r>
      <w:r>
        <w:rPr>
          <w:rFonts w:hint="eastAsia"/>
        </w:rPr>
        <w:t>明确</w:t>
      </w:r>
      <w:r>
        <w:t>，内容范围清晰完整，合同正文不能完整表达时，在附件中予以补充；</w:t>
      </w:r>
    </w:p>
    <w:p w14:paraId="79C89F77">
      <w:pPr>
        <w:pStyle w:val="175"/>
      </w:pPr>
      <w:r>
        <w:rPr>
          <w:rFonts w:hint="eastAsia"/>
        </w:rPr>
        <w:t>变更</w:t>
      </w:r>
      <w:r>
        <w:t>标的物所有权</w:t>
      </w:r>
      <w:r>
        <w:rPr>
          <w:rFonts w:hint="eastAsia"/>
        </w:rPr>
        <w:t>、使用权等物权</w:t>
      </w:r>
      <w:r>
        <w:t>的合同，</w:t>
      </w:r>
      <w:r>
        <w:rPr>
          <w:rFonts w:hint="eastAsia"/>
        </w:rPr>
        <w:t>应</w:t>
      </w:r>
      <w:r>
        <w:t>载明以下情形：</w:t>
      </w:r>
    </w:p>
    <w:p w14:paraId="1E26381F">
      <w:pPr>
        <w:pStyle w:val="110"/>
      </w:pPr>
      <w:r>
        <w:t>是否设定过抵押、质押及是否存在</w:t>
      </w:r>
      <w:r>
        <w:rPr>
          <w:rFonts w:hint="eastAsia"/>
        </w:rPr>
        <w:t>其他权利负担</w:t>
      </w:r>
      <w:r>
        <w:t>；</w:t>
      </w:r>
    </w:p>
    <w:p w14:paraId="49BAFA11">
      <w:pPr>
        <w:pStyle w:val="110"/>
      </w:pPr>
      <w:r>
        <w:t>对方当事人是否</w:t>
      </w:r>
      <w:r>
        <w:rPr>
          <w:rFonts w:hint="eastAsia"/>
        </w:rPr>
        <w:t>有相关权利证书，是否</w:t>
      </w:r>
      <w:r>
        <w:t>有处分权；</w:t>
      </w:r>
    </w:p>
    <w:p w14:paraId="275EC379">
      <w:pPr>
        <w:pStyle w:val="110"/>
        <w:rPr>
          <w:rFonts w:ascii="Helvetica Neue" w:hAnsi="Helvetica Neue" w:eastAsia="Helvetica Neue" w:cs="Helvetica Neue"/>
          <w:spacing w:val="20"/>
        </w:rPr>
      </w:pPr>
      <w:r>
        <w:t>是否存在相关法律法规的限制等。</w:t>
      </w:r>
    </w:p>
    <w:p w14:paraId="7738C070">
      <w:pPr>
        <w:pStyle w:val="106"/>
        <w:spacing w:before="156" w:after="156"/>
      </w:pPr>
      <w:r>
        <w:rPr>
          <w:rFonts w:hint="eastAsia"/>
        </w:rPr>
        <w:t>合同程序</w:t>
      </w:r>
    </w:p>
    <w:p w14:paraId="607D694B">
      <w:pPr>
        <w:pStyle w:val="57"/>
        <w:ind w:firstLine="420"/>
      </w:pPr>
      <w:r>
        <w:t>合同</w:t>
      </w:r>
      <w:r>
        <w:rPr>
          <w:rFonts w:hint="eastAsia"/>
        </w:rPr>
        <w:t>起草、订立程序应符合以下要求：</w:t>
      </w:r>
    </w:p>
    <w:p w14:paraId="2735E973">
      <w:pPr>
        <w:pStyle w:val="175"/>
        <w:numPr>
          <w:ilvl w:val="0"/>
          <w:numId w:val="37"/>
        </w:numPr>
      </w:pPr>
      <w:r>
        <w:rPr>
          <w:rFonts w:hint="eastAsia"/>
        </w:rPr>
        <w:t>合同起草、订立履行了相应的审批手续；</w:t>
      </w:r>
    </w:p>
    <w:p w14:paraId="6F41D930">
      <w:pPr>
        <w:pStyle w:val="175"/>
      </w:pPr>
      <w:r>
        <w:rPr>
          <w:rFonts w:hint="eastAsia"/>
        </w:rPr>
        <w:t>需要通过招标、拍卖、挂牌、政府采购等法律程序确定合同对方当事人的，招标、拍卖、挂牌、政府采购等法律程序符合相关法律法规规定；</w:t>
      </w:r>
    </w:p>
    <w:p w14:paraId="1BE1A020">
      <w:pPr>
        <w:pStyle w:val="175"/>
        <w:rPr>
          <w:rFonts w:ascii="Helvetica Neue" w:hAnsi="Helvetica Neue" w:eastAsia="Helvetica Neue" w:cs="Helvetica Neue"/>
          <w:spacing w:val="20"/>
        </w:rPr>
      </w:pPr>
      <w:r>
        <w:rPr>
          <w:rFonts w:hint="eastAsia"/>
        </w:rPr>
        <w:t>法律法规对特定合同的订立有期限、程序要求的，符合相关法律法规规定。</w:t>
      </w:r>
    </w:p>
    <w:p w14:paraId="50C1B22D">
      <w:pPr>
        <w:pStyle w:val="106"/>
        <w:spacing w:before="156" w:after="156"/>
      </w:pPr>
      <w:r>
        <w:t>合同数量条款</w:t>
      </w:r>
    </w:p>
    <w:p w14:paraId="279949E2">
      <w:pPr>
        <w:pStyle w:val="57"/>
        <w:ind w:firstLine="420"/>
      </w:pPr>
      <w:r>
        <w:rPr>
          <w:rFonts w:hint="eastAsia"/>
        </w:rPr>
        <w:t>政府</w:t>
      </w:r>
      <w:r>
        <w:t>合同数量条款</w:t>
      </w:r>
      <w:r>
        <w:rPr>
          <w:rFonts w:hint="eastAsia"/>
        </w:rPr>
        <w:t>应</w:t>
      </w:r>
      <w:r>
        <w:t>符合以下要求：</w:t>
      </w:r>
    </w:p>
    <w:p w14:paraId="2FD96C88">
      <w:pPr>
        <w:pStyle w:val="175"/>
        <w:numPr>
          <w:ilvl w:val="0"/>
          <w:numId w:val="38"/>
        </w:numPr>
      </w:pPr>
      <w:r>
        <w:t>优先使用法定计量单位、计量方法和计量工具；</w:t>
      </w:r>
    </w:p>
    <w:p w14:paraId="2FAF94F4">
      <w:pPr>
        <w:pStyle w:val="175"/>
        <w:rPr>
          <w:rFonts w:ascii="Helvetica Neue" w:hAnsi="Helvetica Neue" w:eastAsia="Helvetica Neue" w:cs="Helvetica Neue"/>
          <w:spacing w:val="20"/>
        </w:rPr>
      </w:pPr>
      <w:r>
        <w:t>对于无法明确计量单位、计量方法和计量工具的合同，表述清晰，无歧义。</w:t>
      </w:r>
    </w:p>
    <w:p w14:paraId="1D04F8A2">
      <w:pPr>
        <w:pStyle w:val="106"/>
        <w:spacing w:before="156" w:after="156"/>
      </w:pPr>
      <w:r>
        <w:t>合同质量条款</w:t>
      </w:r>
    </w:p>
    <w:p w14:paraId="7EC952B7">
      <w:pPr>
        <w:pStyle w:val="57"/>
        <w:ind w:firstLine="420"/>
      </w:pPr>
      <w:r>
        <w:rPr>
          <w:rFonts w:hint="eastAsia"/>
        </w:rPr>
        <w:t>政府</w:t>
      </w:r>
      <w:r>
        <w:t>合同质量条款</w:t>
      </w:r>
      <w:r>
        <w:rPr>
          <w:rFonts w:hint="eastAsia"/>
        </w:rPr>
        <w:t>应</w:t>
      </w:r>
      <w:r>
        <w:t>符合以下要求：</w:t>
      </w:r>
    </w:p>
    <w:p w14:paraId="6660AE90">
      <w:pPr>
        <w:pStyle w:val="175"/>
        <w:numPr>
          <w:ilvl w:val="0"/>
          <w:numId w:val="39"/>
        </w:numPr>
      </w:pPr>
      <w:r>
        <w:t>约定的质量要求不低于强制性标准的规定；</w:t>
      </w:r>
    </w:p>
    <w:p w14:paraId="5762EC21">
      <w:pPr>
        <w:pStyle w:val="175"/>
      </w:pPr>
      <w:r>
        <w:rPr>
          <w:rFonts w:hint="eastAsia"/>
        </w:rPr>
        <w:t>明确</w:t>
      </w:r>
      <w:r>
        <w:t>质量验收的条件</w:t>
      </w:r>
      <w:r>
        <w:rPr>
          <w:rFonts w:hint="eastAsia"/>
        </w:rPr>
        <w:t>、期限</w:t>
      </w:r>
      <w:r>
        <w:t>、地点、验收</w:t>
      </w:r>
      <w:r>
        <w:rPr>
          <w:rFonts w:hint="eastAsia"/>
        </w:rPr>
        <w:t>方式</w:t>
      </w:r>
      <w:r>
        <w:t>；</w:t>
      </w:r>
    </w:p>
    <w:p w14:paraId="08225D7E">
      <w:pPr>
        <w:pStyle w:val="175"/>
      </w:pPr>
      <w:r>
        <w:rPr>
          <w:rFonts w:hint="eastAsia"/>
        </w:rPr>
        <w:t>明确质保期的起算条件、期限、双方的权利义务；</w:t>
      </w:r>
    </w:p>
    <w:p w14:paraId="5517F5AE">
      <w:pPr>
        <w:pStyle w:val="175"/>
      </w:pPr>
      <w:r>
        <w:t>对外观质量</w:t>
      </w:r>
      <w:r>
        <w:rPr>
          <w:rFonts w:hint="eastAsia"/>
        </w:rPr>
        <w:t>缺陷</w:t>
      </w:r>
      <w:r>
        <w:t>或</w:t>
      </w:r>
      <w:r>
        <w:rPr>
          <w:rFonts w:hint="eastAsia"/>
        </w:rPr>
        <w:t>者</w:t>
      </w:r>
      <w:r>
        <w:t>经运行才能发现的质量缺陷，</w:t>
      </w:r>
      <w:r>
        <w:rPr>
          <w:rFonts w:hint="eastAsia"/>
        </w:rPr>
        <w:t>明确</w:t>
      </w:r>
      <w:r>
        <w:t>提出异议的方式和期限；</w:t>
      </w:r>
    </w:p>
    <w:p w14:paraId="1D134700">
      <w:pPr>
        <w:pStyle w:val="175"/>
        <w:rPr>
          <w:rFonts w:ascii="Helvetica Neue" w:hAnsi="Helvetica Neue" w:eastAsia="Helvetica Neue" w:cs="Helvetica Neue"/>
          <w:spacing w:val="20"/>
        </w:rPr>
      </w:pPr>
      <w:r>
        <w:rPr>
          <w:rFonts w:hint="eastAsia"/>
        </w:rPr>
        <w:t>明确</w:t>
      </w:r>
      <w:r>
        <w:t>质量缺陷的补救措施，以及无法补救时的处理办法</w:t>
      </w:r>
      <w:r>
        <w:rPr>
          <w:rFonts w:hint="eastAsia" w:hAnsi="宋体" w:cs="宋体"/>
          <w:spacing w:val="20"/>
          <w:shd w:val="clear" w:color="auto" w:fill="FFFFFF"/>
        </w:rPr>
        <w:t>。</w:t>
      </w:r>
    </w:p>
    <w:p w14:paraId="50D62BA0">
      <w:pPr>
        <w:pStyle w:val="106"/>
        <w:spacing w:before="156" w:after="156"/>
      </w:pPr>
      <w:r>
        <w:t>合同价格与报酬</w:t>
      </w:r>
    </w:p>
    <w:p w14:paraId="35A90E35">
      <w:pPr>
        <w:pStyle w:val="57"/>
        <w:ind w:firstLine="420"/>
      </w:pPr>
      <w:r>
        <w:t>合同价格与报酬</w:t>
      </w:r>
      <w:r>
        <w:rPr>
          <w:rFonts w:hint="eastAsia"/>
        </w:rPr>
        <w:t>应</w:t>
      </w:r>
      <w:r>
        <w:t>符合以下要求：</w:t>
      </w:r>
    </w:p>
    <w:p w14:paraId="6E1F68DB">
      <w:pPr>
        <w:pStyle w:val="175"/>
        <w:numPr>
          <w:ilvl w:val="0"/>
          <w:numId w:val="40"/>
        </w:numPr>
      </w:pPr>
      <w:r>
        <w:t>适用政府定价或指导价的</w:t>
      </w:r>
      <w:r>
        <w:rPr>
          <w:rFonts w:hint="eastAsia"/>
        </w:rPr>
        <w:t>政府</w:t>
      </w:r>
      <w:r>
        <w:t>合同，符合政府价格管理规定；</w:t>
      </w:r>
    </w:p>
    <w:p w14:paraId="21D52F9F">
      <w:pPr>
        <w:pStyle w:val="175"/>
      </w:pPr>
      <w:r>
        <w:t>明确价款或报酬所包含的内容及有关费用、税收的承担；</w:t>
      </w:r>
    </w:p>
    <w:p w14:paraId="48ED73B6">
      <w:pPr>
        <w:pStyle w:val="175"/>
      </w:pPr>
      <w:r>
        <w:t>履约保证金的金额和提交方式符合相关法律法规规定</w:t>
      </w:r>
      <w:r>
        <w:rPr>
          <w:rFonts w:hint="eastAsia"/>
        </w:rPr>
        <w:t>；</w:t>
      </w:r>
    </w:p>
    <w:p w14:paraId="1867725B">
      <w:pPr>
        <w:pStyle w:val="175"/>
      </w:pPr>
      <w:r>
        <w:t>明确价格调整的条件、幅度与程序；</w:t>
      </w:r>
    </w:p>
    <w:p w14:paraId="5AB39B31">
      <w:pPr>
        <w:pStyle w:val="175"/>
      </w:pPr>
      <w:r>
        <w:t>明确价款支付的前置条件、付款与票据的时序；</w:t>
      </w:r>
    </w:p>
    <w:p w14:paraId="09352635">
      <w:pPr>
        <w:pStyle w:val="175"/>
      </w:pPr>
      <w:r>
        <w:t>明确涉外</w:t>
      </w:r>
      <w:r>
        <w:rPr>
          <w:rFonts w:hint="eastAsia"/>
        </w:rPr>
        <w:t>政府</w:t>
      </w:r>
      <w:r>
        <w:t>合同适用的币种；</w:t>
      </w:r>
    </w:p>
    <w:p w14:paraId="29E9325D">
      <w:pPr>
        <w:pStyle w:val="175"/>
        <w:rPr>
          <w:rFonts w:ascii="Helvetica Neue" w:hAnsi="Helvetica Neue" w:eastAsia="Helvetica Neue" w:cs="Helvetica Neue"/>
          <w:spacing w:val="20"/>
        </w:rPr>
      </w:pPr>
      <w:r>
        <w:t>明确一方拒付的条件及另一方的补救办法。</w:t>
      </w:r>
    </w:p>
    <w:p w14:paraId="2950769C">
      <w:pPr>
        <w:pStyle w:val="106"/>
        <w:spacing w:before="156" w:after="156"/>
      </w:pPr>
      <w:r>
        <w:t>合同履行期限</w:t>
      </w:r>
    </w:p>
    <w:p w14:paraId="4D305524">
      <w:pPr>
        <w:pStyle w:val="57"/>
        <w:ind w:firstLine="420"/>
      </w:pPr>
      <w:r>
        <w:rPr>
          <w:rFonts w:hint="eastAsia"/>
        </w:rPr>
        <w:t>政府</w:t>
      </w:r>
      <w:r>
        <w:t>合同履行期限</w:t>
      </w:r>
      <w:r>
        <w:rPr>
          <w:rFonts w:hint="eastAsia"/>
        </w:rPr>
        <w:t>应</w:t>
      </w:r>
      <w:r>
        <w:t>符合以下要求：</w:t>
      </w:r>
    </w:p>
    <w:p w14:paraId="59C3288B">
      <w:pPr>
        <w:pStyle w:val="175"/>
        <w:numPr>
          <w:ilvl w:val="0"/>
          <w:numId w:val="41"/>
        </w:numPr>
      </w:pPr>
      <w:r>
        <w:t>明确</w:t>
      </w:r>
      <w:r>
        <w:rPr>
          <w:rFonts w:hint="eastAsia"/>
        </w:rPr>
        <w:t>政府</w:t>
      </w:r>
      <w:r>
        <w:t>合同履行期限的起算点、截止点及计算方法，不应出现开放式的时间条款；</w:t>
      </w:r>
    </w:p>
    <w:p w14:paraId="530565A2">
      <w:pPr>
        <w:pStyle w:val="175"/>
        <w:rPr>
          <w:rFonts w:ascii="Helvetica Neue" w:hAnsi="Helvetica Neue" w:eastAsia="Helvetica Neue" w:cs="Helvetica Neue"/>
          <w:spacing w:val="20"/>
        </w:rPr>
      </w:pPr>
      <w:r>
        <w:t>以条件成就作为起始时间</w:t>
      </w:r>
      <w:r>
        <w:rPr>
          <w:rFonts w:hint="eastAsia"/>
        </w:rPr>
        <w:t>或者截止时间</w:t>
      </w:r>
      <w:r>
        <w:t>时，明确条件的确认方法</w:t>
      </w:r>
      <w:r>
        <w:rPr>
          <w:rFonts w:hint="eastAsia"/>
        </w:rPr>
        <w:t>，</w:t>
      </w:r>
      <w:r>
        <w:t>在条件成就难以控制时，</w:t>
      </w:r>
      <w:r>
        <w:rPr>
          <w:rFonts w:hint="eastAsia"/>
        </w:rPr>
        <w:t>应明确履行条件和履行期限</w:t>
      </w:r>
      <w:r>
        <w:t>。</w:t>
      </w:r>
    </w:p>
    <w:p w14:paraId="426C7B6C">
      <w:pPr>
        <w:pStyle w:val="106"/>
        <w:spacing w:before="156" w:after="156"/>
      </w:pPr>
      <w:r>
        <w:t>保密条款</w:t>
      </w:r>
    </w:p>
    <w:p w14:paraId="6DA56A11">
      <w:pPr>
        <w:pStyle w:val="57"/>
        <w:ind w:firstLine="420"/>
      </w:pPr>
      <w:r>
        <w:t>合同内容涉及国家秘密或</w:t>
      </w:r>
      <w:r>
        <w:rPr>
          <w:rFonts w:hint="eastAsia"/>
        </w:rPr>
        <w:t>者</w:t>
      </w:r>
      <w:r>
        <w:t>商业秘密时，</w:t>
      </w:r>
      <w:r>
        <w:rPr>
          <w:rFonts w:hint="eastAsia"/>
        </w:rPr>
        <w:t>审核</w:t>
      </w:r>
      <w:r>
        <w:t>其保密义务、保密措施和违约责任。</w:t>
      </w:r>
    </w:p>
    <w:p w14:paraId="61710470">
      <w:pPr>
        <w:pStyle w:val="106"/>
        <w:spacing w:before="156" w:after="156"/>
      </w:pPr>
      <w:r>
        <w:t>知识产权条款</w:t>
      </w:r>
    </w:p>
    <w:p w14:paraId="0833FB4C">
      <w:pPr>
        <w:pStyle w:val="57"/>
        <w:ind w:firstLine="420"/>
      </w:pPr>
      <w:r>
        <w:t>知识产权条款</w:t>
      </w:r>
      <w:r>
        <w:rPr>
          <w:rFonts w:hint="eastAsia"/>
        </w:rPr>
        <w:t>应</w:t>
      </w:r>
      <w:r>
        <w:t>符合以下要求：</w:t>
      </w:r>
    </w:p>
    <w:p w14:paraId="1ECE714F">
      <w:pPr>
        <w:pStyle w:val="175"/>
        <w:numPr>
          <w:ilvl w:val="0"/>
          <w:numId w:val="42"/>
        </w:numPr>
      </w:pPr>
      <w:r>
        <w:t>提供产品、工程、技术成果、专业服务等的一方，明确承诺不侵犯第三方知识产权；</w:t>
      </w:r>
    </w:p>
    <w:p w14:paraId="33819746">
      <w:pPr>
        <w:pStyle w:val="175"/>
      </w:pPr>
      <w:r>
        <w:t>明确标的提供方对知识产权争议的处理责任及侵权赔偿责任；</w:t>
      </w:r>
    </w:p>
    <w:p w14:paraId="36155448">
      <w:pPr>
        <w:pStyle w:val="175"/>
        <w:rPr>
          <w:rFonts w:ascii="Helvetica Neue" w:hAnsi="Helvetica Neue" w:eastAsia="Helvetica Neue" w:cs="Helvetica Neue"/>
          <w:spacing w:val="20"/>
        </w:rPr>
      </w:pPr>
      <w:r>
        <w:t>行政机关委托开发的技术成果，权属</w:t>
      </w:r>
      <w:r>
        <w:rPr>
          <w:rFonts w:hint="eastAsia"/>
        </w:rPr>
        <w:t>一般</w:t>
      </w:r>
      <w:r>
        <w:t>归行政机关或</w:t>
      </w:r>
      <w:r>
        <w:rPr>
          <w:rFonts w:hint="eastAsia"/>
        </w:rPr>
        <w:t>者</w:t>
      </w:r>
      <w:r>
        <w:t>其指定的单位。</w:t>
      </w:r>
    </w:p>
    <w:p w14:paraId="43887896">
      <w:pPr>
        <w:pStyle w:val="106"/>
        <w:spacing w:before="156" w:after="156"/>
      </w:pPr>
      <w:r>
        <w:t>合同解除条款</w:t>
      </w:r>
    </w:p>
    <w:p w14:paraId="78909ADC">
      <w:pPr>
        <w:pStyle w:val="57"/>
        <w:ind w:firstLine="420"/>
      </w:pPr>
      <w:r>
        <w:t>合同解除条款</w:t>
      </w:r>
      <w:r>
        <w:rPr>
          <w:rFonts w:hint="eastAsia"/>
        </w:rPr>
        <w:t>应</w:t>
      </w:r>
      <w:r>
        <w:t>符合以下要求：</w:t>
      </w:r>
    </w:p>
    <w:p w14:paraId="1AFD46F4">
      <w:pPr>
        <w:pStyle w:val="175"/>
        <w:numPr>
          <w:ilvl w:val="0"/>
          <w:numId w:val="43"/>
        </w:numPr>
      </w:pPr>
      <w:r>
        <w:t>附解除条件的</w:t>
      </w:r>
      <w:r>
        <w:rPr>
          <w:rFonts w:hint="eastAsia"/>
        </w:rPr>
        <w:t>政府</w:t>
      </w:r>
      <w:r>
        <w:t>合同，解除条件</w:t>
      </w:r>
      <w:r>
        <w:rPr>
          <w:rFonts w:hint="eastAsia"/>
        </w:rPr>
        <w:t>及方式</w:t>
      </w:r>
      <w:r>
        <w:t>清晰、明确；</w:t>
      </w:r>
    </w:p>
    <w:p w14:paraId="13900B81">
      <w:pPr>
        <w:pStyle w:val="175"/>
      </w:pPr>
      <w:r>
        <w:t>民事合同的解除条件及程序按照《中华人民共和国</w:t>
      </w:r>
      <w:r>
        <w:rPr>
          <w:rFonts w:hint="eastAsia"/>
        </w:rPr>
        <w:t>民</w:t>
      </w:r>
      <w:r>
        <w:t>法</w:t>
      </w:r>
      <w:r>
        <w:rPr>
          <w:rFonts w:hint="eastAsia"/>
        </w:rPr>
        <w:t>典</w:t>
      </w:r>
      <w:r>
        <w:t>》和《中华人民共和国民事诉讼法》的规定执行；</w:t>
      </w:r>
    </w:p>
    <w:p w14:paraId="67EC6377">
      <w:pPr>
        <w:pStyle w:val="175"/>
      </w:pPr>
      <w:r>
        <w:rPr>
          <w:rFonts w:hint="eastAsia"/>
        </w:rPr>
        <w:t>行政协议</w:t>
      </w:r>
      <w:r>
        <w:t>的解除条件不得违反《中华人民共和国行政诉讼法》</w:t>
      </w:r>
      <w:r>
        <w:rPr>
          <w:rFonts w:hint="eastAsia"/>
        </w:rPr>
        <w:t>和</w:t>
      </w:r>
      <w:r>
        <w:t>《最高人民法院关于适用</w:t>
      </w:r>
      <w:r>
        <w:rPr>
          <w:rFonts w:hint="eastAsia"/>
          <w:lang w:eastAsia="zh-CN"/>
        </w:rPr>
        <w:t>〈</w:t>
      </w:r>
      <w:r>
        <w:t>中华人民共和国行政诉讼法</w:t>
      </w:r>
      <w:r>
        <w:rPr>
          <w:rFonts w:hint="eastAsia"/>
          <w:lang w:eastAsia="zh-CN"/>
        </w:rPr>
        <w:t>〉</w:t>
      </w:r>
      <w:r>
        <w:t>若干问题的解释》</w:t>
      </w:r>
      <w:r>
        <w:rPr>
          <w:rFonts w:hint="eastAsia"/>
        </w:rPr>
        <w:t>等</w:t>
      </w:r>
      <w:r>
        <w:t>的规定；</w:t>
      </w:r>
    </w:p>
    <w:p w14:paraId="43DC9C75">
      <w:pPr>
        <w:pStyle w:val="175"/>
        <w:rPr>
          <w:rFonts w:ascii="Helvetica Neue" w:hAnsi="Helvetica Neue" w:eastAsia="Helvetica Neue" w:cs="Helvetica Neue"/>
          <w:spacing w:val="20"/>
        </w:rPr>
      </w:pPr>
      <w:r>
        <w:t>行政机关因</w:t>
      </w:r>
      <w:r>
        <w:rPr>
          <w:rFonts w:hint="eastAsia"/>
        </w:rPr>
        <w:t>国家利益、公共利益有权</w:t>
      </w:r>
      <w:r>
        <w:t>单方解除</w:t>
      </w:r>
      <w:r>
        <w:rPr>
          <w:rFonts w:hint="eastAsia"/>
        </w:rPr>
        <w:t>行政协议</w:t>
      </w:r>
      <w:r>
        <w:t>。</w:t>
      </w:r>
    </w:p>
    <w:p w14:paraId="5E045F64">
      <w:pPr>
        <w:pStyle w:val="106"/>
        <w:spacing w:before="156" w:after="156"/>
      </w:pPr>
      <w:r>
        <w:t>违约责任</w:t>
      </w:r>
    </w:p>
    <w:p w14:paraId="32123CFD">
      <w:pPr>
        <w:pStyle w:val="57"/>
        <w:ind w:firstLine="420"/>
      </w:pPr>
      <w:r>
        <w:t>违约责任</w:t>
      </w:r>
      <w:r>
        <w:rPr>
          <w:rFonts w:hint="eastAsia"/>
        </w:rPr>
        <w:t>应</w:t>
      </w:r>
      <w:r>
        <w:t>符合以下要求：</w:t>
      </w:r>
    </w:p>
    <w:p w14:paraId="2E203340">
      <w:pPr>
        <w:pStyle w:val="175"/>
        <w:numPr>
          <w:ilvl w:val="0"/>
          <w:numId w:val="44"/>
        </w:numPr>
      </w:pPr>
      <w:r>
        <w:t>明确禁止性条款、强制性条款相应的违约责任条款，违约责任的构成要件、违约责任的内容有可识别性和可执行性；</w:t>
      </w:r>
    </w:p>
    <w:p w14:paraId="4CF6D0C9">
      <w:pPr>
        <w:pStyle w:val="175"/>
      </w:pPr>
      <w:r>
        <w:t>违约责任公平设置，避免违约责任过轻、不足以督促义务方履行合同约定的情况，避免违约责任不明确或者过重的情况；</w:t>
      </w:r>
    </w:p>
    <w:p w14:paraId="5B5AA018">
      <w:pPr>
        <w:pStyle w:val="175"/>
      </w:pPr>
      <w:r>
        <w:t>违约责任主要包括继续履行、采取补救措施、赔偿损失、支付违约金和承担定金责任等：</w:t>
      </w:r>
    </w:p>
    <w:p w14:paraId="44247C23">
      <w:pPr>
        <w:pStyle w:val="110"/>
      </w:pPr>
      <w:r>
        <w:rPr>
          <w:rFonts w:hint="eastAsia"/>
        </w:rPr>
        <w:t>行政协议</w:t>
      </w:r>
      <w:r>
        <w:t>可</w:t>
      </w:r>
      <w:r>
        <w:rPr>
          <w:rFonts w:hint="eastAsia"/>
        </w:rPr>
        <w:t>以</w:t>
      </w:r>
      <w:r>
        <w:t>同时采用法律规定的行政制裁方式；</w:t>
      </w:r>
    </w:p>
    <w:p w14:paraId="30C9C46A">
      <w:pPr>
        <w:pStyle w:val="110"/>
      </w:pPr>
      <w:r>
        <w:t>民事合同不得采用罚款、没收等行政制裁方式；</w:t>
      </w:r>
    </w:p>
    <w:p w14:paraId="385E2973">
      <w:pPr>
        <w:pStyle w:val="175"/>
      </w:pPr>
      <w:r>
        <w:t>明确约定定金、违约金、赔偿金的计算方法、金额、支付方式和期限等。</w:t>
      </w:r>
    </w:p>
    <w:p w14:paraId="7E589BF4">
      <w:pPr>
        <w:pStyle w:val="106"/>
        <w:spacing w:before="156" w:after="156"/>
      </w:pPr>
      <w:r>
        <w:t>担保条款</w:t>
      </w:r>
    </w:p>
    <w:p w14:paraId="3C7BF424">
      <w:pPr>
        <w:pStyle w:val="57"/>
        <w:ind w:firstLine="420"/>
      </w:pPr>
      <w:r>
        <w:t>担保条款</w:t>
      </w:r>
      <w:r>
        <w:rPr>
          <w:rFonts w:hint="eastAsia"/>
        </w:rPr>
        <w:t>应</w:t>
      </w:r>
      <w:r>
        <w:t>符合以下要求：</w:t>
      </w:r>
    </w:p>
    <w:p w14:paraId="5BED757C">
      <w:pPr>
        <w:pStyle w:val="175"/>
        <w:numPr>
          <w:ilvl w:val="0"/>
          <w:numId w:val="45"/>
        </w:numPr>
      </w:pPr>
      <w:r>
        <w:t>相对方对履行</w:t>
      </w:r>
      <w:r>
        <w:rPr>
          <w:rFonts w:hint="eastAsia"/>
        </w:rPr>
        <w:t>政府</w:t>
      </w:r>
      <w:r>
        <w:t>合同主要义务提供相应担保；</w:t>
      </w:r>
    </w:p>
    <w:p w14:paraId="708BA388">
      <w:pPr>
        <w:pStyle w:val="175"/>
      </w:pPr>
      <w:r>
        <w:t>行政机关不得提供担保；</w:t>
      </w:r>
    </w:p>
    <w:p w14:paraId="0F3580DE">
      <w:pPr>
        <w:pStyle w:val="175"/>
      </w:pPr>
      <w:r>
        <w:t>相对方签订</w:t>
      </w:r>
      <w:r>
        <w:rPr>
          <w:rFonts w:hint="eastAsia"/>
        </w:rPr>
        <w:t>政府</w:t>
      </w:r>
      <w:r>
        <w:t>合同后通过补充协议将权利义务转移给其子公司或者关联公司的，明确</w:t>
      </w:r>
      <w:r>
        <w:rPr>
          <w:rFonts w:hint="eastAsia"/>
        </w:rPr>
        <w:t>相关内容；</w:t>
      </w:r>
    </w:p>
    <w:p w14:paraId="5DC40BEB">
      <w:pPr>
        <w:pStyle w:val="175"/>
      </w:pPr>
      <w:r>
        <w:t>相对方对其子公司或</w:t>
      </w:r>
      <w:r>
        <w:rPr>
          <w:rFonts w:hint="eastAsia"/>
        </w:rPr>
        <w:t>者</w:t>
      </w:r>
      <w:r>
        <w:t>关联公司履行义务的连带责任保证；</w:t>
      </w:r>
    </w:p>
    <w:p w14:paraId="643BC55F">
      <w:pPr>
        <w:pStyle w:val="175"/>
        <w:rPr>
          <w:rFonts w:ascii="Helvetica Neue" w:hAnsi="Helvetica Neue" w:eastAsia="Helvetica Neue" w:cs="Helvetica Neue"/>
          <w:spacing w:val="20"/>
        </w:rPr>
      </w:pPr>
      <w:r>
        <w:t>明确分阶段履行义务并交付的担保措施</w:t>
      </w:r>
      <w:r>
        <w:rPr>
          <w:rFonts w:hint="eastAsia"/>
        </w:rPr>
        <w:t>；</w:t>
      </w:r>
    </w:p>
    <w:p w14:paraId="57E95EB0">
      <w:pPr>
        <w:pStyle w:val="175"/>
      </w:pPr>
      <w:r>
        <w:rPr>
          <w:rFonts w:hint="eastAsia"/>
        </w:rPr>
        <w:t>履约保证金条款应明确履约保证金退还条件、退还日期、是否计息以及是否可以冲抵违约金。</w:t>
      </w:r>
    </w:p>
    <w:p w14:paraId="6230BC9D">
      <w:pPr>
        <w:pStyle w:val="106"/>
        <w:spacing w:before="156" w:after="156"/>
      </w:pPr>
      <w:r>
        <w:t>承诺条款</w:t>
      </w:r>
    </w:p>
    <w:p w14:paraId="283230D6">
      <w:pPr>
        <w:pStyle w:val="57"/>
        <w:ind w:firstLine="420"/>
      </w:pPr>
      <w:r>
        <w:t>承诺条款</w:t>
      </w:r>
      <w:r>
        <w:rPr>
          <w:rFonts w:hint="eastAsia"/>
        </w:rPr>
        <w:t>应</w:t>
      </w:r>
      <w:r>
        <w:t>符合以下要求：</w:t>
      </w:r>
    </w:p>
    <w:p w14:paraId="55C84E37">
      <w:pPr>
        <w:pStyle w:val="175"/>
        <w:numPr>
          <w:ilvl w:val="0"/>
          <w:numId w:val="46"/>
        </w:numPr>
      </w:pPr>
      <w:r>
        <w:t>行政机关不得作出</w:t>
      </w:r>
      <w:r>
        <w:rPr>
          <w:rFonts w:hint="eastAsia"/>
        </w:rPr>
        <w:t>超权限承诺或权利义务严重失衡的过度</w:t>
      </w:r>
      <w:r>
        <w:t>承诺</w:t>
      </w:r>
      <w:r>
        <w:rPr>
          <w:rFonts w:hint="eastAsia"/>
        </w:rPr>
        <w:t>以及其他违法承诺</w:t>
      </w:r>
      <w:r>
        <w:t>；</w:t>
      </w:r>
    </w:p>
    <w:p w14:paraId="26369506">
      <w:pPr>
        <w:pStyle w:val="175"/>
        <w:rPr>
          <w:rFonts w:ascii="Helvetica Neue" w:hAnsi="Helvetica Neue" w:eastAsia="Helvetica Neue" w:cs="Helvetica Neue"/>
          <w:spacing w:val="20"/>
        </w:rPr>
      </w:pPr>
      <w:r>
        <w:t>行政机关不得对地方国有企业及国资参资企业承担出资责任以外的债务清偿责任。</w:t>
      </w:r>
    </w:p>
    <w:p w14:paraId="0490DA45">
      <w:pPr>
        <w:pStyle w:val="106"/>
        <w:spacing w:before="156" w:after="156"/>
      </w:pPr>
      <w:r>
        <w:rPr>
          <w:rFonts w:hint="eastAsia"/>
        </w:rPr>
        <w:t>不可抗力</w:t>
      </w:r>
      <w:r>
        <w:t>条款</w:t>
      </w:r>
    </w:p>
    <w:p w14:paraId="3E14D375">
      <w:pPr>
        <w:pStyle w:val="57"/>
        <w:ind w:firstLine="420"/>
      </w:pPr>
      <w:r>
        <w:rPr>
          <w:rFonts w:hint="eastAsia"/>
        </w:rPr>
        <w:t>不可抗力</w:t>
      </w:r>
      <w:r>
        <w:t>条款</w:t>
      </w:r>
      <w:r>
        <w:rPr>
          <w:rFonts w:hint="eastAsia"/>
        </w:rPr>
        <w:t>应</w:t>
      </w:r>
      <w:r>
        <w:t>符合以下要求：</w:t>
      </w:r>
    </w:p>
    <w:p w14:paraId="7934F658">
      <w:pPr>
        <w:pStyle w:val="175"/>
        <w:numPr>
          <w:ilvl w:val="0"/>
          <w:numId w:val="47"/>
        </w:numPr>
      </w:pPr>
      <w:r>
        <w:rPr>
          <w:rFonts w:hint="eastAsia"/>
        </w:rPr>
        <w:t>明确不可抗力的范围，一般包括自然灾害（如地震、洪水、台风、海啸等）、战争、武装冲突、恐怖活动、罢工、政府行为等不能预见、不能避免且不能克服的客观情况；</w:t>
      </w:r>
    </w:p>
    <w:p w14:paraId="550ABC7F">
      <w:pPr>
        <w:pStyle w:val="175"/>
      </w:pPr>
      <w:r>
        <w:rPr>
          <w:rFonts w:hint="eastAsia"/>
        </w:rPr>
        <w:t>规定不可抗力的通知程序、时间要求、通知方式、通知内容；</w:t>
      </w:r>
    </w:p>
    <w:p w14:paraId="7F3BF8C2">
      <w:pPr>
        <w:pStyle w:val="175"/>
      </w:pPr>
      <w:r>
        <w:rPr>
          <w:rFonts w:hint="eastAsia"/>
        </w:rPr>
        <w:t>确定不可抗力的法律后果，包括协商顺延履行期限、免责范围、协商解除合同的程序和条件；</w:t>
      </w:r>
    </w:p>
    <w:p w14:paraId="695AB1A1">
      <w:pPr>
        <w:pStyle w:val="175"/>
      </w:pPr>
      <w:r>
        <w:rPr>
          <w:rFonts w:hint="eastAsia"/>
        </w:rPr>
        <w:t>合理确定双方在不可抗力事件中的损失分担方式。</w:t>
      </w:r>
    </w:p>
    <w:p w14:paraId="0C4C57D3">
      <w:pPr>
        <w:pStyle w:val="106"/>
        <w:spacing w:before="156" w:after="156"/>
      </w:pPr>
      <w:r>
        <w:rPr>
          <w:rFonts w:hint="eastAsia"/>
        </w:rPr>
        <w:t>涉外</w:t>
      </w:r>
      <w:r>
        <w:t>条款</w:t>
      </w:r>
    </w:p>
    <w:p w14:paraId="4E767925">
      <w:pPr>
        <w:pStyle w:val="57"/>
        <w:ind w:firstLine="420"/>
      </w:pPr>
      <w:r>
        <w:rPr>
          <w:rFonts w:hint="eastAsia"/>
        </w:rPr>
        <w:t>涉外</w:t>
      </w:r>
      <w:r>
        <w:t>条款</w:t>
      </w:r>
      <w:r>
        <w:rPr>
          <w:rFonts w:hint="eastAsia"/>
        </w:rPr>
        <w:t>应</w:t>
      </w:r>
      <w:r>
        <w:t>符合以下要求：</w:t>
      </w:r>
    </w:p>
    <w:p w14:paraId="15FCB854">
      <w:pPr>
        <w:pStyle w:val="175"/>
        <w:numPr>
          <w:ilvl w:val="0"/>
          <w:numId w:val="48"/>
        </w:numPr>
      </w:pPr>
      <w:r>
        <w:rPr>
          <w:rFonts w:hint="eastAsia"/>
        </w:rPr>
        <w:t>明确适用法律，法律适用条款的表述清晰、明确，避免模糊不清或存在歧义，一般情况下应当适用中国法律，经批准确需适用外国法律的，对该外国法律进行充分的研究和了解，确保其与中国法律不存在重大冲突，且不会损害国家利益和公共利益；</w:t>
      </w:r>
    </w:p>
    <w:p w14:paraId="26CC5B3C">
      <w:pPr>
        <w:pStyle w:val="175"/>
      </w:pPr>
      <w:r>
        <w:rPr>
          <w:rFonts w:hint="eastAsia"/>
        </w:rPr>
        <w:t>明确争议解决方式，如果选择仲裁作为争议解决方式，明确仲裁机构的名称、仲裁规则和仲裁地点，一般情况下应当选择在中国境内的仲裁机构，仲裁地点的选择考虑到交通便利、法律环境等因素，如果选择诉讼作为争议解决方式，所选法院确保具有管辖权，一般情况下应当选择在中国境内的法院，法院的选择考虑到所适用法律的规定和国际司法协助的可能性；</w:t>
      </w:r>
    </w:p>
    <w:p w14:paraId="7D81211E">
      <w:pPr>
        <w:pStyle w:val="175"/>
      </w:pPr>
      <w:r>
        <w:t>明确合同的主要语言和辅助语言</w:t>
      </w:r>
      <w:r>
        <w:rPr>
          <w:rFonts w:hint="eastAsia"/>
        </w:rPr>
        <w:t>，确保两种语言版本的合同内容一致；</w:t>
      </w:r>
    </w:p>
    <w:p w14:paraId="3554149B">
      <w:pPr>
        <w:pStyle w:val="175"/>
      </w:pPr>
      <w:r>
        <w:t>涉及外币支付的，</w:t>
      </w:r>
      <w:r>
        <w:rPr>
          <w:rFonts w:hint="eastAsia"/>
        </w:rPr>
        <w:t>明确</w:t>
      </w:r>
      <w:r>
        <w:t>关于汇率风险的防范措施</w:t>
      </w:r>
      <w:r>
        <w:rPr>
          <w:rFonts w:hint="eastAsia"/>
        </w:rPr>
        <w:t>。</w:t>
      </w:r>
    </w:p>
    <w:p w14:paraId="559878A2">
      <w:pPr>
        <w:pStyle w:val="106"/>
        <w:spacing w:before="156" w:after="156"/>
      </w:pPr>
      <w:r>
        <w:rPr>
          <w:rFonts w:hint="eastAsia"/>
        </w:rPr>
        <w:t>特定</w:t>
      </w:r>
      <w:r>
        <w:t>条款</w:t>
      </w:r>
    </w:p>
    <w:p w14:paraId="4FD151EE">
      <w:pPr>
        <w:pStyle w:val="57"/>
        <w:ind w:firstLine="420"/>
      </w:pPr>
      <w:r>
        <w:rPr>
          <w:rFonts w:hint="eastAsia"/>
        </w:rPr>
        <w:t>特定</w:t>
      </w:r>
      <w:r>
        <w:t>条款</w:t>
      </w:r>
      <w:r>
        <w:rPr>
          <w:rFonts w:hint="eastAsia"/>
        </w:rPr>
        <w:t>应</w:t>
      </w:r>
      <w:r>
        <w:t>符合以下要求：</w:t>
      </w:r>
    </w:p>
    <w:p w14:paraId="2CFC5536">
      <w:pPr>
        <w:pStyle w:val="175"/>
        <w:numPr>
          <w:ilvl w:val="0"/>
          <w:numId w:val="49"/>
        </w:numPr>
      </w:pPr>
      <w:r>
        <w:rPr>
          <w:rFonts w:hint="eastAsia"/>
        </w:rPr>
        <w:t>政府</w:t>
      </w:r>
      <w:r>
        <w:t>合同约定的除外条款、例外情形明确、严谨；</w:t>
      </w:r>
    </w:p>
    <w:p w14:paraId="44F82312">
      <w:pPr>
        <w:pStyle w:val="175"/>
      </w:pPr>
      <w:r>
        <w:rPr>
          <w:rFonts w:hint="eastAsia"/>
        </w:rPr>
        <w:t>政府</w:t>
      </w:r>
      <w:r>
        <w:t>合同条款不得</w:t>
      </w:r>
      <w:r>
        <w:rPr>
          <w:rFonts w:hint="eastAsia"/>
        </w:rPr>
        <w:t>转移监管职责、不得</w:t>
      </w:r>
      <w:r>
        <w:t>构成垄断或商业贿赂，不得违反</w:t>
      </w:r>
      <w:r>
        <w:rPr>
          <w:rFonts w:hint="eastAsia"/>
        </w:rPr>
        <w:t>金融</w:t>
      </w:r>
      <w:r>
        <w:t>等特殊监管政策；</w:t>
      </w:r>
    </w:p>
    <w:p w14:paraId="5304EC0A">
      <w:pPr>
        <w:pStyle w:val="175"/>
      </w:pPr>
      <w:r>
        <w:t>对税负承担主体的约定遵循国家税收法律法规、规章及相关政策规定；</w:t>
      </w:r>
    </w:p>
    <w:p w14:paraId="75C0D316">
      <w:pPr>
        <w:pStyle w:val="175"/>
      </w:pPr>
      <w:r>
        <w:t>涉及财政补贴、税收优惠、土地价款等条款，符合法律法规、规章及相关政策规定；</w:t>
      </w:r>
    </w:p>
    <w:p w14:paraId="2E7E04AE">
      <w:pPr>
        <w:pStyle w:val="175"/>
        <w:rPr>
          <w:rFonts w:ascii="Helvetica Neue" w:hAnsi="Helvetica Neue" w:eastAsia="Helvetica Neue" w:cs="Helvetica Neue"/>
          <w:spacing w:val="20"/>
        </w:rPr>
      </w:pPr>
      <w:r>
        <w:t>存在关联交易的特殊条款，保证</w:t>
      </w:r>
      <w:r>
        <w:rPr>
          <w:rFonts w:hint="eastAsia"/>
        </w:rPr>
        <w:t>行政机关</w:t>
      </w:r>
      <w:r>
        <w:t>的合法权益不受损害。</w:t>
      </w:r>
    </w:p>
    <w:p w14:paraId="602354EC">
      <w:pPr>
        <w:pStyle w:val="106"/>
        <w:spacing w:before="156" w:after="156"/>
      </w:pPr>
      <w:r>
        <w:t>争议解决方法</w:t>
      </w:r>
    </w:p>
    <w:p w14:paraId="055A93ED">
      <w:pPr>
        <w:pStyle w:val="57"/>
        <w:ind w:firstLine="420"/>
      </w:pPr>
      <w:r>
        <w:t>争议解决方法</w:t>
      </w:r>
      <w:r>
        <w:rPr>
          <w:rFonts w:hint="eastAsia"/>
        </w:rPr>
        <w:t>应</w:t>
      </w:r>
      <w:r>
        <w:t>符合以下要求：</w:t>
      </w:r>
    </w:p>
    <w:p w14:paraId="659C162B">
      <w:pPr>
        <w:pStyle w:val="175"/>
        <w:numPr>
          <w:ilvl w:val="0"/>
          <w:numId w:val="50"/>
        </w:numPr>
      </w:pPr>
      <w:r>
        <w:rPr>
          <w:rFonts w:hint="eastAsia"/>
        </w:rPr>
        <w:t>民事</w:t>
      </w:r>
      <w:r>
        <w:t>合同约定通过仲裁方式解决争议的，</w:t>
      </w:r>
      <w:r>
        <w:rPr>
          <w:rFonts w:hint="eastAsia"/>
        </w:rPr>
        <w:t>明确</w:t>
      </w:r>
      <w:r>
        <w:t>仲裁机构的选择，</w:t>
      </w:r>
      <w:r>
        <w:rPr>
          <w:rFonts w:hint="eastAsia"/>
        </w:rPr>
        <w:t>一般</w:t>
      </w:r>
      <w:r>
        <w:t>选择</w:t>
      </w:r>
      <w:r>
        <w:rPr>
          <w:rFonts w:hint="eastAsia"/>
        </w:rPr>
        <w:t>南通</w:t>
      </w:r>
      <w:r>
        <w:t>仲裁委员会并约定按照仲裁提起时施行的仲裁规则进行仲裁；</w:t>
      </w:r>
    </w:p>
    <w:p w14:paraId="3F49162E">
      <w:pPr>
        <w:pStyle w:val="175"/>
      </w:pPr>
      <w:r>
        <w:rPr>
          <w:rFonts w:hint="eastAsia"/>
        </w:rPr>
        <w:t>民事</w:t>
      </w:r>
      <w:r>
        <w:t>合同约定通过诉讼方式解决争议的，</w:t>
      </w:r>
      <w:r>
        <w:rPr>
          <w:rFonts w:hint="eastAsia"/>
        </w:rPr>
        <w:t>一般</w:t>
      </w:r>
      <w:r>
        <w:t>选择行政机关所在地或合同履行地的</w:t>
      </w:r>
      <w:r>
        <w:rPr>
          <w:rFonts w:hint="eastAsia"/>
        </w:rPr>
        <w:t>管辖</w:t>
      </w:r>
      <w:r>
        <w:t>法院；</w:t>
      </w:r>
    </w:p>
    <w:p w14:paraId="4EC1234A">
      <w:pPr>
        <w:pStyle w:val="175"/>
        <w:rPr>
          <w:rFonts w:ascii="Helvetica Neue" w:hAnsi="Helvetica Neue" w:eastAsia="Helvetica Neue" w:cs="Helvetica Neue"/>
          <w:spacing w:val="20"/>
        </w:rPr>
      </w:pPr>
      <w:r>
        <w:rPr>
          <w:rFonts w:hint="eastAsia"/>
        </w:rPr>
        <w:t>行政协议</w:t>
      </w:r>
      <w:r>
        <w:t>不得约定</w:t>
      </w:r>
      <w:r>
        <w:rPr>
          <w:rFonts w:hint="eastAsia"/>
        </w:rPr>
        <w:t>仲裁</w:t>
      </w:r>
      <w:r>
        <w:t>。</w:t>
      </w:r>
    </w:p>
    <w:p w14:paraId="71D20983">
      <w:pPr>
        <w:pStyle w:val="106"/>
        <w:spacing w:before="156" w:after="156"/>
      </w:pPr>
      <w:r>
        <w:t>合同生效条款</w:t>
      </w:r>
    </w:p>
    <w:p w14:paraId="47743B30">
      <w:pPr>
        <w:pStyle w:val="57"/>
        <w:ind w:firstLine="420"/>
      </w:pPr>
      <w:r>
        <w:t>合同生效条款符合以下要求：</w:t>
      </w:r>
    </w:p>
    <w:p w14:paraId="2B035490">
      <w:pPr>
        <w:pStyle w:val="175"/>
        <w:numPr>
          <w:ilvl w:val="0"/>
          <w:numId w:val="51"/>
        </w:numPr>
      </w:pPr>
      <w:r>
        <w:t>附条件、期限的合同，所附条件、期限适当、合法；</w:t>
      </w:r>
    </w:p>
    <w:p w14:paraId="5733F344">
      <w:pPr>
        <w:pStyle w:val="175"/>
      </w:pPr>
      <w:r>
        <w:t>履行批准、登记等手续的</w:t>
      </w:r>
      <w:r>
        <w:rPr>
          <w:rFonts w:hint="eastAsia"/>
        </w:rPr>
        <w:t>合同</w:t>
      </w:r>
      <w:r>
        <w:t>，对批准、登记问题做出明确约定；</w:t>
      </w:r>
    </w:p>
    <w:p w14:paraId="57661B22">
      <w:pPr>
        <w:pStyle w:val="175"/>
      </w:pPr>
      <w:r>
        <w:t>其他与合同生效有关的条款明确、具体。</w:t>
      </w:r>
    </w:p>
    <w:p w14:paraId="6792AA51">
      <w:pPr>
        <w:pStyle w:val="106"/>
        <w:spacing w:before="156" w:after="156"/>
      </w:pPr>
      <w:r>
        <w:rPr>
          <w:rFonts w:hint="eastAsia"/>
        </w:rPr>
        <w:t>其他因素</w:t>
      </w:r>
    </w:p>
    <w:p w14:paraId="72EE5570">
      <w:pPr>
        <w:pStyle w:val="57"/>
        <w:ind w:firstLine="420"/>
      </w:pPr>
      <w:r>
        <w:t>合同</w:t>
      </w:r>
      <w:r>
        <w:rPr>
          <w:rFonts w:hint="eastAsia"/>
        </w:rPr>
        <w:t>内容不应违反公平竞争的有关要求，不存在显失公平的情况，约定的权利义务应明确、具体。</w:t>
      </w:r>
    </w:p>
    <w:p w14:paraId="4B558749">
      <w:pPr>
        <w:pStyle w:val="105"/>
        <w:spacing w:before="312" w:after="312"/>
        <w:rPr>
          <w:rFonts w:hAnsi="黑体" w:cs="黑体"/>
        </w:rPr>
      </w:pPr>
      <w:bookmarkStart w:id="61" w:name="_Toc177245245"/>
      <w:bookmarkStart w:id="62" w:name="_Toc177153424"/>
      <w:bookmarkStart w:id="63" w:name="_Toc178086510"/>
      <w:r>
        <w:rPr>
          <w:rFonts w:hint="eastAsia"/>
        </w:rPr>
        <w:t>合同表述审核</w:t>
      </w:r>
      <w:bookmarkEnd w:id="61"/>
      <w:bookmarkEnd w:id="62"/>
      <w:bookmarkEnd w:id="63"/>
    </w:p>
    <w:p w14:paraId="70005555">
      <w:pPr>
        <w:pStyle w:val="163"/>
        <w:rPr>
          <w:rFonts w:ascii="Helvetica Neue" w:hAnsi="Helvetica Neue" w:eastAsia="Helvetica Neue" w:cs="Helvetica Neue"/>
          <w:spacing w:val="20"/>
        </w:rPr>
      </w:pPr>
      <w:r>
        <w:t>合同前后条款</w:t>
      </w:r>
      <w:r>
        <w:rPr>
          <w:rFonts w:hint="eastAsia"/>
        </w:rPr>
        <w:t>的</w:t>
      </w:r>
      <w:r>
        <w:t>表述</w:t>
      </w:r>
      <w:r>
        <w:rPr>
          <w:rFonts w:hint="eastAsia"/>
        </w:rPr>
        <w:t>应</w:t>
      </w:r>
      <w:r>
        <w:t>互相配合、协调一致。</w:t>
      </w:r>
    </w:p>
    <w:p w14:paraId="3A95FA25">
      <w:pPr>
        <w:pStyle w:val="163"/>
        <w:rPr>
          <w:rFonts w:ascii="Helvetica Neue" w:hAnsi="Helvetica Neue" w:eastAsia="Helvetica Neue" w:cs="Helvetica Neue"/>
          <w:spacing w:val="20"/>
        </w:rPr>
      </w:pPr>
      <w:r>
        <w:t>合同法律术语、技术术语符合法律规范和技术规范规定，行业专有名词符合行业通常解释。有示范合同文本定义的，按文本定义使用</w:t>
      </w:r>
      <w:r>
        <w:rPr>
          <w:rFonts w:hint="eastAsia" w:hAnsi="宋体" w:cs="宋体"/>
          <w:spacing w:val="20"/>
          <w:shd w:val="clear" w:color="auto" w:fill="FFFFFF"/>
        </w:rPr>
        <w:t>。</w:t>
      </w:r>
    </w:p>
    <w:p w14:paraId="2A30A031">
      <w:pPr>
        <w:pStyle w:val="163"/>
        <w:rPr>
          <w:rFonts w:ascii="Helvetica Neue" w:hAnsi="Helvetica Neue" w:eastAsia="Helvetica Neue" w:cs="Helvetica Neue"/>
          <w:spacing w:val="20"/>
        </w:rPr>
      </w:pPr>
      <w:r>
        <w:t>合同用词、表述明确，避免使用</w:t>
      </w:r>
      <w:r>
        <w:rPr>
          <w:rFonts w:hint="eastAsia"/>
        </w:rPr>
        <w:t>“</w:t>
      </w:r>
      <w:r>
        <w:t>优良</w:t>
      </w:r>
      <w:r>
        <w:rPr>
          <w:rFonts w:hint="eastAsia"/>
        </w:rPr>
        <w:t>”“</w:t>
      </w:r>
      <w:r>
        <w:t>重要</w:t>
      </w:r>
      <w:r>
        <w:rPr>
          <w:rFonts w:hint="eastAsia"/>
        </w:rPr>
        <w:t>”“</w:t>
      </w:r>
      <w:r>
        <w:t>左右</w:t>
      </w:r>
      <w:r>
        <w:rPr>
          <w:rFonts w:hint="eastAsia"/>
        </w:rPr>
        <w:t>”“</w:t>
      </w:r>
      <w:r>
        <w:t>大约</w:t>
      </w:r>
      <w:r>
        <w:rPr>
          <w:rFonts w:hint="eastAsia"/>
        </w:rPr>
        <w:t>”</w:t>
      </w:r>
      <w:r>
        <w:t>等容易引起理解歧义的词语，避免出现不具操作性的表述。</w:t>
      </w:r>
    </w:p>
    <w:p w14:paraId="2EA314A8">
      <w:pPr>
        <w:pStyle w:val="163"/>
        <w:rPr>
          <w:rFonts w:ascii="Helvetica Neue" w:hAnsi="Helvetica Neue" w:eastAsia="Helvetica Neue" w:cs="Helvetica Neue"/>
          <w:spacing w:val="20"/>
        </w:rPr>
      </w:pPr>
      <w:r>
        <w:t>合同权利义务和责任具体确定，便于操作，不</w:t>
      </w:r>
      <w:r>
        <w:rPr>
          <w:rFonts w:hint="eastAsia"/>
        </w:rPr>
        <w:t>应</w:t>
      </w:r>
      <w:r>
        <w:t>出现权利义务和责任脱节、冲突及模糊的表述</w:t>
      </w:r>
      <w:r>
        <w:rPr>
          <w:rFonts w:hint="eastAsia" w:hAnsi="宋体" w:cs="宋体"/>
          <w:spacing w:val="20"/>
          <w:shd w:val="clear" w:color="auto" w:fill="FFFFFF"/>
        </w:rPr>
        <w:t>。</w:t>
      </w:r>
    </w:p>
    <w:p w14:paraId="3D2E3FC4">
      <w:pPr>
        <w:pStyle w:val="163"/>
      </w:pPr>
      <w:r>
        <w:t>内容复杂</w:t>
      </w:r>
      <w:r>
        <w:rPr>
          <w:rFonts w:hint="eastAsia" w:ascii="黑体" w:hAnsi="黑体" w:eastAsia="黑体" w:cs="黑体"/>
          <w:spacing w:val="-7"/>
        </w:rPr>
        <w:t>、</w:t>
      </w:r>
      <w:r>
        <w:t>篇幅长的合同，对理解可能有歧义的用语，设定义章节或条款</w:t>
      </w:r>
      <w:r>
        <w:rPr>
          <w:rFonts w:hint="eastAsia"/>
        </w:rPr>
        <w:t>。</w:t>
      </w:r>
    </w:p>
    <w:p w14:paraId="7E14B296">
      <w:pPr>
        <w:pStyle w:val="105"/>
        <w:spacing w:before="312" w:after="312"/>
        <w:rPr>
          <w:rFonts w:hAnsi="黑体" w:cs="黑体"/>
          <w:spacing w:val="-12"/>
        </w:rPr>
      </w:pPr>
      <w:bookmarkStart w:id="64" w:name="_Toc177153425"/>
      <w:bookmarkStart w:id="65" w:name="_Toc177245246"/>
      <w:bookmarkStart w:id="66" w:name="_Toc178086511"/>
      <w:r>
        <w:rPr>
          <w:rFonts w:hint="eastAsia"/>
        </w:rPr>
        <w:t>不予审核的内容</w:t>
      </w:r>
      <w:bookmarkEnd w:id="64"/>
      <w:bookmarkEnd w:id="65"/>
      <w:bookmarkEnd w:id="66"/>
    </w:p>
    <w:p w14:paraId="5D8B5945">
      <w:pPr>
        <w:pStyle w:val="57"/>
        <w:ind w:firstLine="420"/>
      </w:pPr>
      <w:r>
        <w:rPr>
          <w:rFonts w:hint="eastAsia"/>
        </w:rPr>
        <w:t>合法性审核不对政府合同涉及的技术、金额等业务方面的内容进行审查。</w:t>
      </w:r>
    </w:p>
    <w:p w14:paraId="135A3D5F">
      <w:pPr>
        <w:pStyle w:val="105"/>
        <w:spacing w:before="312" w:after="312"/>
        <w:rPr>
          <w:rFonts w:hAnsi="黑体" w:cs="黑体"/>
          <w:spacing w:val="-12"/>
        </w:rPr>
      </w:pPr>
      <w:bookmarkStart w:id="67" w:name="_Toc177153426"/>
      <w:bookmarkStart w:id="68" w:name="_Toc177245247"/>
      <w:bookmarkStart w:id="69" w:name="_Toc178086512"/>
      <w:r>
        <w:rPr>
          <w:rFonts w:hint="eastAsia"/>
        </w:rPr>
        <w:t>审核意见</w:t>
      </w:r>
      <w:bookmarkEnd w:id="67"/>
      <w:bookmarkEnd w:id="68"/>
      <w:bookmarkEnd w:id="69"/>
    </w:p>
    <w:p w14:paraId="4B9C47EE">
      <w:pPr>
        <w:pStyle w:val="106"/>
        <w:spacing w:before="156" w:after="156"/>
      </w:pPr>
      <w:r>
        <w:rPr>
          <w:rFonts w:hint="eastAsia"/>
        </w:rPr>
        <w:t>审核意见书内容</w:t>
      </w:r>
    </w:p>
    <w:p w14:paraId="55865219">
      <w:pPr>
        <w:pStyle w:val="57"/>
        <w:ind w:firstLine="420"/>
      </w:pPr>
      <w:r>
        <w:rPr>
          <w:rFonts w:hint="eastAsia"/>
        </w:rPr>
        <w:t>审核</w:t>
      </w:r>
      <w:r>
        <w:t>完成后，</w:t>
      </w:r>
      <w:r>
        <w:rPr>
          <w:rFonts w:hint="eastAsia"/>
        </w:rPr>
        <w:t>审核</w:t>
      </w:r>
      <w:r>
        <w:t>人员制作《</w:t>
      </w:r>
      <w:r>
        <w:rPr>
          <w:rFonts w:hint="eastAsia"/>
        </w:rPr>
        <w:t>政府</w:t>
      </w:r>
      <w:r>
        <w:t>合同草案</w:t>
      </w:r>
      <w:r>
        <w:rPr>
          <w:rFonts w:hint="eastAsia"/>
        </w:rPr>
        <w:t>合法性审核</w:t>
      </w:r>
      <w:r>
        <w:t>意见》，内容包括</w:t>
      </w:r>
      <w:r>
        <w:rPr>
          <w:rFonts w:hint="eastAsia"/>
        </w:rPr>
        <w:t>但不限于</w:t>
      </w:r>
      <w:r>
        <w:t>：</w:t>
      </w:r>
    </w:p>
    <w:p w14:paraId="48C0BE1F">
      <w:pPr>
        <w:pStyle w:val="175"/>
        <w:numPr>
          <w:ilvl w:val="0"/>
          <w:numId w:val="52"/>
        </w:numPr>
      </w:pPr>
      <w:r>
        <w:t>受理时间；</w:t>
      </w:r>
    </w:p>
    <w:p w14:paraId="790BE122">
      <w:pPr>
        <w:pStyle w:val="175"/>
      </w:pPr>
      <w:r>
        <w:t>完成</w:t>
      </w:r>
      <w:r>
        <w:rPr>
          <w:rFonts w:hint="eastAsia"/>
        </w:rPr>
        <w:t>审核</w:t>
      </w:r>
      <w:r>
        <w:t>时间；</w:t>
      </w:r>
    </w:p>
    <w:p w14:paraId="66E9C98C">
      <w:pPr>
        <w:pStyle w:val="175"/>
      </w:pPr>
      <w:r>
        <w:t>具体的意见和建议；</w:t>
      </w:r>
    </w:p>
    <w:p w14:paraId="201EC053">
      <w:pPr>
        <w:pStyle w:val="175"/>
      </w:pPr>
      <w:r>
        <w:rPr>
          <w:rFonts w:hint="eastAsia"/>
        </w:rPr>
        <w:t>审核</w:t>
      </w:r>
      <w:r>
        <w:t>理由和依据；</w:t>
      </w:r>
    </w:p>
    <w:p w14:paraId="384FA3EF">
      <w:pPr>
        <w:pStyle w:val="175"/>
        <w:rPr>
          <w:rFonts w:ascii="Helvetica Neue" w:hAnsi="Helvetica Neue" w:eastAsia="Helvetica Neue" w:cs="Helvetica Neue"/>
          <w:spacing w:val="20"/>
        </w:rPr>
      </w:pPr>
      <w:r>
        <w:t>联系人和联系方式。</w:t>
      </w:r>
    </w:p>
    <w:p w14:paraId="5A5B843C">
      <w:pPr>
        <w:pStyle w:val="106"/>
        <w:spacing w:before="156" w:after="156"/>
      </w:pPr>
      <w:r>
        <w:rPr>
          <w:rFonts w:hint="eastAsia"/>
        </w:rPr>
        <w:t>审核结论</w:t>
      </w:r>
    </w:p>
    <w:p w14:paraId="4562106A">
      <w:pPr>
        <w:pStyle w:val="57"/>
        <w:ind w:firstLine="420"/>
      </w:pPr>
      <w:r>
        <w:rPr>
          <w:rFonts w:hint="eastAsia"/>
        </w:rPr>
        <w:t>经合法性审核，应形成以下审核结论：</w:t>
      </w:r>
    </w:p>
    <w:p w14:paraId="10EBCEF4">
      <w:pPr>
        <w:pStyle w:val="175"/>
        <w:numPr>
          <w:ilvl w:val="0"/>
          <w:numId w:val="53"/>
        </w:numPr>
      </w:pPr>
      <w:r>
        <w:rPr>
          <w:rFonts w:hint="eastAsia"/>
        </w:rPr>
        <w:t>主体适格，内容符合法律、法规、规章和政策规定，程序履行完备的，出具合法审核意见；</w:t>
      </w:r>
    </w:p>
    <w:p w14:paraId="14CDCFB2">
      <w:pPr>
        <w:pStyle w:val="175"/>
        <w:rPr>
          <w:rFonts w:hAnsi="宋体" w:cs="宋体"/>
        </w:rPr>
      </w:pPr>
      <w:r>
        <w:rPr>
          <w:rFonts w:hint="eastAsia" w:hAnsi="宋体" w:cs="宋体"/>
        </w:rPr>
        <w:t>主体不适格的，出具不予签订意见；</w:t>
      </w:r>
    </w:p>
    <w:p w14:paraId="3370B553">
      <w:pPr>
        <w:pStyle w:val="175"/>
      </w:pPr>
      <w:r>
        <w:rPr>
          <w:rFonts w:hint="eastAsia"/>
        </w:rPr>
        <w:t>相关内容不符合法律、法规、规章和政策规定的，指出存在的问题及理由，建议修改、不予签订或者视情作出风险提示；</w:t>
      </w:r>
    </w:p>
    <w:p w14:paraId="2384D975">
      <w:pPr>
        <w:pStyle w:val="175"/>
        <w:rPr>
          <w:rFonts w:hAnsi="宋体" w:cs="宋体"/>
        </w:rPr>
      </w:pPr>
      <w:r>
        <w:rPr>
          <w:rFonts w:hint="eastAsia" w:hAnsi="宋体" w:cs="宋体"/>
        </w:rPr>
        <w:t>程序违法的，指出存在的问题及理由，建议补充完善相应程序。</w:t>
      </w:r>
    </w:p>
    <w:p w14:paraId="4D59AEB2">
      <w:pPr>
        <w:pStyle w:val="106"/>
        <w:spacing w:before="156" w:after="156"/>
      </w:pPr>
      <w:r>
        <w:rPr>
          <w:rFonts w:hint="eastAsia"/>
        </w:rPr>
        <w:t>意见反馈</w:t>
      </w:r>
    </w:p>
    <w:p w14:paraId="31A67532">
      <w:pPr>
        <w:pStyle w:val="57"/>
        <w:ind w:firstLine="420"/>
      </w:pPr>
      <w:r>
        <w:rPr>
          <w:rFonts w:hint="eastAsia"/>
        </w:rPr>
        <w:t>承办部门根据合法性审核意见对政府合同文本进行修改或者补充。特殊情况下，承办部门未完全采纳合法性审核意见的，向审核机构反馈，并在提请市政府审议时详细说明不予采纳的理由和依据。</w:t>
      </w:r>
    </w:p>
    <w:p w14:paraId="1216FCEA">
      <w:pPr>
        <w:pStyle w:val="106"/>
        <w:spacing w:before="156" w:after="156"/>
      </w:pPr>
      <w:r>
        <w:rPr>
          <w:rFonts w:hint="eastAsia"/>
        </w:rPr>
        <w:t>审核意见书形式要求</w:t>
      </w:r>
    </w:p>
    <w:p w14:paraId="698D5165">
      <w:pPr>
        <w:pStyle w:val="57"/>
        <w:ind w:firstLine="420"/>
      </w:pPr>
      <w:r>
        <w:rPr>
          <w:rFonts w:hint="eastAsia"/>
        </w:rPr>
        <w:t>审核意见书应加盖公章，</w:t>
      </w:r>
      <w:r>
        <w:t>主送</w:t>
      </w:r>
      <w:r>
        <w:rPr>
          <w:rFonts w:hint="eastAsia"/>
        </w:rPr>
        <w:t>政府，同时抄送承办部门。</w:t>
      </w:r>
    </w:p>
    <w:p w14:paraId="261CC9A8">
      <w:pPr>
        <w:pStyle w:val="106"/>
        <w:spacing w:before="156" w:after="156"/>
      </w:pPr>
      <w:r>
        <w:rPr>
          <w:rFonts w:hint="eastAsia"/>
        </w:rPr>
        <w:t>重新审核</w:t>
      </w:r>
    </w:p>
    <w:p w14:paraId="5EC9FD42">
      <w:pPr>
        <w:pStyle w:val="57"/>
        <w:ind w:firstLine="420"/>
      </w:pPr>
      <w:r>
        <w:rPr>
          <w:rFonts w:hint="eastAsia"/>
        </w:rPr>
        <w:t>经审核机构合法性审核后，合同的主体、标的、权利义务、违约责任等实质性内容又发生变更的，承办部门应将拟变更的合同文本报送审核机构重新审核。</w:t>
      </w:r>
    </w:p>
    <w:p w14:paraId="4D70CCCF">
      <w:pPr>
        <w:pStyle w:val="105"/>
        <w:spacing w:before="312" w:after="312"/>
      </w:pPr>
      <w:bookmarkStart w:id="70" w:name="_Toc177245248"/>
      <w:bookmarkStart w:id="71" w:name="_Toc177153427"/>
      <w:bookmarkStart w:id="72" w:name="_Toc178086513"/>
      <w:r>
        <w:rPr>
          <w:rFonts w:hint="eastAsia"/>
        </w:rPr>
        <w:t>保密事项</w:t>
      </w:r>
      <w:bookmarkEnd w:id="70"/>
      <w:bookmarkEnd w:id="71"/>
      <w:bookmarkEnd w:id="72"/>
    </w:p>
    <w:p w14:paraId="28E0E8AF">
      <w:pPr>
        <w:pStyle w:val="106"/>
        <w:spacing w:before="156" w:after="156"/>
      </w:pPr>
      <w:r>
        <w:rPr>
          <w:rFonts w:hint="eastAsia"/>
        </w:rPr>
        <w:t>保密范围</w:t>
      </w:r>
    </w:p>
    <w:p w14:paraId="6867239A">
      <w:pPr>
        <w:pStyle w:val="57"/>
        <w:ind w:firstLine="420"/>
      </w:pPr>
      <w:r>
        <w:rPr>
          <w:rFonts w:hint="eastAsia"/>
        </w:rPr>
        <w:t>涉及国家秘密、商业秘密或者个人隐私的，由承办部门在送审材料中予以说明，审核时采取必要的保密措施。</w:t>
      </w:r>
    </w:p>
    <w:p w14:paraId="394EF4B7">
      <w:pPr>
        <w:pStyle w:val="106"/>
        <w:spacing w:before="156" w:after="156"/>
      </w:pPr>
      <w:r>
        <w:rPr>
          <w:rFonts w:hint="eastAsia"/>
        </w:rPr>
        <w:t>保密义务</w:t>
      </w:r>
    </w:p>
    <w:p w14:paraId="386BF33C">
      <w:pPr>
        <w:pStyle w:val="57"/>
        <w:ind w:firstLine="420"/>
      </w:pPr>
      <w:r>
        <w:rPr>
          <w:rFonts w:hint="eastAsia"/>
        </w:rPr>
        <w:t>参与磋商、起草、审核政府合同等过程的行政机关工作人员、专业机构、法律顾问、专家等不得擅自对外披露或者向他人提供有关该合同的信息和资料。</w:t>
      </w:r>
    </w:p>
    <w:p w14:paraId="797A5BD2">
      <w:pPr>
        <w:pStyle w:val="105"/>
        <w:spacing w:before="312" w:after="312"/>
      </w:pPr>
      <w:bookmarkStart w:id="73" w:name="_Toc177245249"/>
      <w:bookmarkStart w:id="74" w:name="_Toc177153428"/>
      <w:bookmarkStart w:id="75" w:name="_Toc178086514"/>
      <w:r>
        <w:rPr>
          <w:rFonts w:hint="eastAsia"/>
        </w:rPr>
        <w:t>档案管理</w:t>
      </w:r>
      <w:bookmarkEnd w:id="73"/>
      <w:bookmarkEnd w:id="74"/>
      <w:bookmarkEnd w:id="75"/>
    </w:p>
    <w:p w14:paraId="074A5B0A">
      <w:pPr>
        <w:pStyle w:val="106"/>
        <w:spacing w:before="156" w:after="156"/>
      </w:pPr>
      <w:r>
        <w:rPr>
          <w:rFonts w:hint="eastAsia"/>
        </w:rPr>
        <w:t>归档时间</w:t>
      </w:r>
    </w:p>
    <w:p w14:paraId="7EF503AE">
      <w:pPr>
        <w:pStyle w:val="57"/>
        <w:ind w:firstLine="420"/>
      </w:pPr>
      <w:r>
        <w:rPr>
          <w:rFonts w:hint="eastAsia"/>
        </w:rPr>
        <w:t>审核机构应在审核工作完成之日起10个工作日内将合法性审核材料整理归档。</w:t>
      </w:r>
    </w:p>
    <w:p w14:paraId="227E1C77">
      <w:pPr>
        <w:pStyle w:val="106"/>
        <w:spacing w:before="156" w:after="156"/>
      </w:pPr>
      <w:r>
        <w:rPr>
          <w:rFonts w:hint="eastAsia"/>
        </w:rPr>
        <w:t>归档材料</w:t>
      </w:r>
    </w:p>
    <w:p w14:paraId="6E5129F8">
      <w:pPr>
        <w:pStyle w:val="57"/>
        <w:ind w:firstLine="420"/>
      </w:pPr>
      <w:r>
        <w:rPr>
          <w:rFonts w:hint="eastAsia"/>
        </w:rPr>
        <w:t>归档材料包括但不限于：</w:t>
      </w:r>
    </w:p>
    <w:p w14:paraId="5ABDF817">
      <w:pPr>
        <w:pStyle w:val="175"/>
        <w:numPr>
          <w:ilvl w:val="0"/>
          <w:numId w:val="54"/>
        </w:numPr>
      </w:pPr>
      <w:r>
        <w:rPr>
          <w:rFonts w:hint="eastAsia"/>
        </w:rPr>
        <w:t>送审材料；</w:t>
      </w:r>
    </w:p>
    <w:p w14:paraId="5A209392">
      <w:pPr>
        <w:pStyle w:val="175"/>
      </w:pPr>
      <w:r>
        <w:rPr>
          <w:rFonts w:hint="eastAsia"/>
        </w:rPr>
        <w:t>书面沟通函（如有）；</w:t>
      </w:r>
    </w:p>
    <w:p w14:paraId="5E24DC80">
      <w:pPr>
        <w:pStyle w:val="175"/>
      </w:pPr>
      <w:r>
        <w:rPr>
          <w:rFonts w:hint="eastAsia"/>
        </w:rPr>
        <w:t>补充材料（如有）；</w:t>
      </w:r>
    </w:p>
    <w:p w14:paraId="58C6B39E">
      <w:pPr>
        <w:pStyle w:val="175"/>
      </w:pPr>
      <w:r>
        <w:rPr>
          <w:rFonts w:hint="eastAsia"/>
        </w:rPr>
        <w:t>《政府合同草案合法性审核意见》；</w:t>
      </w:r>
    </w:p>
    <w:p w14:paraId="3DD210BF">
      <w:pPr>
        <w:pStyle w:val="175"/>
      </w:pPr>
      <w:r>
        <w:rPr>
          <w:rFonts w:hint="eastAsia"/>
        </w:rPr>
        <w:t>政府合同终稿；</w:t>
      </w:r>
    </w:p>
    <w:p w14:paraId="32C6C103">
      <w:pPr>
        <w:pStyle w:val="175"/>
      </w:pPr>
      <w:r>
        <w:rPr>
          <w:rFonts w:hint="eastAsia"/>
        </w:rPr>
        <w:t>盖章版政府合同复印件；</w:t>
      </w:r>
    </w:p>
    <w:p w14:paraId="272296A7">
      <w:pPr>
        <w:pStyle w:val="175"/>
      </w:pPr>
      <w:r>
        <w:rPr>
          <w:rFonts w:hint="eastAsia"/>
        </w:rPr>
        <w:t>补充协议（如有）；</w:t>
      </w:r>
    </w:p>
    <w:p w14:paraId="20EA5869">
      <w:pPr>
        <w:pStyle w:val="175"/>
      </w:pPr>
      <w:r>
        <w:rPr>
          <w:rFonts w:hint="eastAsia"/>
        </w:rPr>
        <w:t>变更送审材料及审核材料（如有）。</w:t>
      </w:r>
    </w:p>
    <w:p w14:paraId="500EA397">
      <w:pPr>
        <w:pStyle w:val="106"/>
        <w:spacing w:before="156" w:after="156"/>
      </w:pPr>
      <w:r>
        <w:rPr>
          <w:rFonts w:hint="eastAsia"/>
        </w:rPr>
        <w:t>档案涉密</w:t>
      </w:r>
    </w:p>
    <w:p w14:paraId="3721931B">
      <w:pPr>
        <w:pStyle w:val="57"/>
        <w:ind w:firstLine="420"/>
        <w:rPr>
          <w:sz w:val="22"/>
        </w:rPr>
      </w:pPr>
      <w:r>
        <w:rPr>
          <w:rFonts w:hint="eastAsia"/>
        </w:rPr>
        <w:t>涉密政府合同按照所定密级严格管理。</w:t>
      </w:r>
    </w:p>
    <w:p w14:paraId="2028E9F3">
      <w:pPr>
        <w:widowControl/>
        <w:adjustRightInd/>
        <w:spacing w:line="240" w:lineRule="auto"/>
        <w:jc w:val="left"/>
      </w:pPr>
    </w:p>
    <w:p w14:paraId="172AF9F1">
      <w:pPr>
        <w:pStyle w:val="57"/>
        <w:ind w:firstLine="420"/>
      </w:pPr>
    </w:p>
    <w:p w14:paraId="4C6A787E">
      <w:pPr>
        <w:pStyle w:val="57"/>
        <w:ind w:firstLine="420"/>
      </w:pPr>
    </w:p>
    <w:p w14:paraId="77CA2416">
      <w:pPr>
        <w:pStyle w:val="57"/>
        <w:ind w:firstLine="420"/>
      </w:pPr>
    </w:p>
    <w:p w14:paraId="2286B215">
      <w:pPr>
        <w:pStyle w:val="57"/>
        <w:ind w:firstLine="420"/>
        <w:sectPr>
          <w:pgSz w:w="11906" w:h="16838"/>
          <w:pgMar w:top="2410" w:right="1134" w:bottom="1134" w:left="1134" w:header="1418" w:footer="1134" w:gutter="284"/>
          <w:pgNumType w:start="1"/>
          <w:cols w:space="425" w:num="1"/>
          <w:formProt w:val="0"/>
          <w:docGrid w:type="lines" w:linePitch="312" w:charSpace="0"/>
        </w:sectPr>
      </w:pPr>
    </w:p>
    <w:bookmarkEnd w:id="20"/>
    <w:p w14:paraId="36109742">
      <w:pPr>
        <w:pStyle w:val="199"/>
        <w:rPr>
          <w:vanish w:val="0"/>
        </w:rPr>
      </w:pPr>
      <w:bookmarkStart w:id="76" w:name="BookMark5"/>
    </w:p>
    <w:p w14:paraId="05473171">
      <w:pPr>
        <w:pStyle w:val="200"/>
        <w:rPr>
          <w:vanish w:val="0"/>
        </w:rPr>
      </w:pPr>
    </w:p>
    <w:p w14:paraId="0889D960">
      <w:pPr>
        <w:pStyle w:val="77"/>
        <w:spacing w:before="78" w:after="156"/>
      </w:pPr>
      <w:r>
        <w:br w:type="textWrapping"/>
      </w:r>
      <w:bookmarkStart w:id="77" w:name="_Toc177245250"/>
      <w:bookmarkStart w:id="78" w:name="_Toc178086515"/>
      <w:r>
        <w:rPr>
          <w:rFonts w:hint="eastAsia"/>
        </w:rPr>
        <w:t>（资料性）</w:t>
      </w:r>
      <w:r>
        <w:br w:type="textWrapping"/>
      </w:r>
      <w:r>
        <w:rPr>
          <w:rFonts w:hint="eastAsia"/>
        </w:rPr>
        <w:t>政府合同合法性审核意见参考样式</w:t>
      </w:r>
      <w:bookmarkEnd w:id="77"/>
      <w:bookmarkEnd w:id="78"/>
    </w:p>
    <w:p w14:paraId="2F7E717D">
      <w:pPr>
        <w:pStyle w:val="57"/>
        <w:ind w:firstLine="420"/>
      </w:pPr>
      <w:r>
        <w:rPr>
          <w:rFonts w:hint="eastAsia"/>
        </w:rPr>
        <w:t>政府合同合法性审核意见参考样式见图A.1所示。</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13D8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4" w:type="dxa"/>
          </w:tcPr>
          <w:p w14:paraId="61DB98BD">
            <w:pPr>
              <w:jc w:val="center"/>
              <w:rPr>
                <w:rFonts w:ascii="宋体" w:hAnsi="Times New Roman"/>
                <w:kern w:val="0"/>
                <w:sz w:val="22"/>
              </w:rPr>
            </w:pPr>
            <w:r>
              <w:rPr>
                <w:rFonts w:hint="eastAsia" w:ascii="宋体" w:hAnsi="Times New Roman"/>
                <w:kern w:val="0"/>
                <w:sz w:val="22"/>
              </w:rPr>
              <w:t>南通市司法局/南通市XX局法制处室</w:t>
            </w:r>
          </w:p>
          <w:p w14:paraId="31BBC53C">
            <w:pPr>
              <w:jc w:val="center"/>
              <w:rPr>
                <w:rFonts w:ascii="Times New Roman Regular" w:hAnsi="Times New Roman Regular" w:cs="Times New Roman Regular"/>
              </w:rPr>
            </w:pPr>
            <w:r>
              <w:rPr>
                <w:rFonts w:hint="eastAsia" w:ascii="宋体" w:hAnsi="Times New Roman"/>
                <w:kern w:val="0"/>
                <w:sz w:val="22"/>
              </w:rPr>
              <w:t>关于</w:t>
            </w:r>
            <w:r>
              <w:rPr>
                <w:rFonts w:hint="eastAsia" w:ascii="宋体" w:hAnsi="Times New Roman"/>
                <w:kern w:val="0"/>
                <w:sz w:val="22"/>
                <w:u w:val="single"/>
              </w:rPr>
              <w:t>《</w:t>
            </w:r>
            <w:r>
              <w:rPr>
                <w:rFonts w:hint="eastAsia" w:ascii="Times New Roman Regular" w:hAnsi="Times New Roman Regular" w:cs="Times New Roman Regular"/>
                <w:u w:val="single"/>
              </w:rPr>
              <w:t>》</w:t>
            </w:r>
            <w:r>
              <w:rPr>
                <w:rFonts w:ascii="Times New Roman Regular" w:hAnsi="Times New Roman Regular" w:cs="Times New Roman Regular"/>
              </w:rPr>
              <w:t>的</w:t>
            </w:r>
            <w:r>
              <w:rPr>
                <w:rFonts w:hint="eastAsia" w:ascii="宋体" w:hAnsi="Times New Roman"/>
                <w:kern w:val="0"/>
              </w:rPr>
              <w:t>政府</w:t>
            </w:r>
            <w:r>
              <w:rPr>
                <w:rFonts w:ascii="宋体" w:hAnsi="Times New Roman"/>
                <w:kern w:val="0"/>
              </w:rPr>
              <w:t>合同草案</w:t>
            </w:r>
            <w:r>
              <w:rPr>
                <w:rFonts w:hint="eastAsia" w:ascii="Times New Roman Regular" w:hAnsi="Times New Roman Regular" w:cs="Times New Roman Regular"/>
              </w:rPr>
              <w:t>合法性审核</w:t>
            </w:r>
            <w:r>
              <w:rPr>
                <w:rFonts w:ascii="Times New Roman Regular" w:hAnsi="Times New Roman Regular" w:cs="Times New Roman Regular"/>
              </w:rPr>
              <w:t>意见</w:t>
            </w:r>
          </w:p>
          <w:p w14:paraId="7DEF1491">
            <w:pPr>
              <w:jc w:val="right"/>
              <w:rPr>
                <w:rFonts w:ascii="Times New Roman Regular" w:hAnsi="Times New Roman Regular" w:cs="Times New Roman Regular"/>
              </w:rPr>
            </w:pPr>
            <w:r>
              <w:rPr>
                <w:rFonts w:ascii="Times New Roman Regular" w:hAnsi="Times New Roman Regular" w:cs="Times New Roman Regular"/>
              </w:rPr>
              <w:t>〔20XX〕</w:t>
            </w:r>
            <w:r>
              <w:rPr>
                <w:rFonts w:hint="eastAsia" w:ascii="Times New Roman Regular" w:hAnsi="Times New Roman Regular" w:cs="Times New Roman Regular"/>
              </w:rPr>
              <w:t>审</w:t>
            </w:r>
            <w:r>
              <w:rPr>
                <w:rFonts w:ascii="Times New Roman Regular" w:hAnsi="Times New Roman Regular" w:cs="Times New Roman Regular"/>
              </w:rPr>
              <w:t>XX号</w:t>
            </w:r>
          </w:p>
          <w:p w14:paraId="3F9B9A88">
            <w:pPr>
              <w:jc w:val="left"/>
              <w:rPr>
                <w:rFonts w:ascii="Times New Roman Regular" w:hAnsi="Times New Roman Regular" w:cs="Times New Roman Regular"/>
              </w:rPr>
            </w:pPr>
            <w:r>
              <w:rPr>
                <w:rFonts w:hint="eastAsia" w:ascii="Times New Roman Regular" w:hAnsi="Times New Roman Regular" w:cs="Times New Roman Regular"/>
              </w:rPr>
              <w:t>南通市XX：</w:t>
            </w:r>
          </w:p>
          <w:p w14:paraId="61513C0E">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贵单位于年月日报送的</w:t>
            </w:r>
            <w:r>
              <w:rPr>
                <w:rFonts w:hint="eastAsia" w:ascii="Times New Roman Regular" w:hAnsi="Times New Roman Regular" w:cs="Times New Roman Regular"/>
                <w:u w:val="single"/>
              </w:rPr>
              <w:t>《》</w:t>
            </w:r>
            <w:r>
              <w:rPr>
                <w:rFonts w:hint="eastAsia" w:ascii="Times New Roman Regular" w:hAnsi="Times New Roman Regular" w:cs="Times New Roman Regular"/>
              </w:rPr>
              <w:t>送审材料已收悉，送审材料包括</w:t>
            </w:r>
            <w:r>
              <w:rPr>
                <w:rFonts w:hint="eastAsia" w:ascii="Times New Roman Regular" w:hAnsi="Times New Roman Regular" w:cs="Times New Roman Regular"/>
                <w:lang w:eastAsia="zh-CN"/>
              </w:rPr>
              <w:t>：</w:t>
            </w:r>
            <w:r>
              <w:rPr>
                <w:rFonts w:hint="eastAsia" w:ascii="Times New Roman Regular" w:hAnsi="Times New Roman Regular" w:cs="Times New Roman Regular"/>
              </w:rPr>
              <w:t>合法性审核意见如下：</w:t>
            </w:r>
          </w:p>
          <w:p w14:paraId="144A85EE">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一、订立主体及权限</w:t>
            </w:r>
          </w:p>
          <w:p w14:paraId="0499267A">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1.合同订立主体合法、权限合法。</w:t>
            </w:r>
          </w:p>
          <w:p w14:paraId="20614A7E">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2.合同订立主体不合法/超越法定权限。</w:t>
            </w:r>
          </w:p>
          <w:p w14:paraId="47CEDB3C">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二、订立程序</w:t>
            </w:r>
          </w:p>
          <w:p w14:paraId="2205A1AF">
            <w:pPr>
              <w:ind w:firstLine="420" w:firstLineChars="200"/>
              <w:jc w:val="left"/>
            </w:pPr>
            <w:r>
              <w:rPr>
                <w:rFonts w:hint="eastAsia" w:ascii="Times New Roman Regular" w:hAnsi="Times New Roman Regular" w:cs="Times New Roman Regular"/>
              </w:rPr>
              <w:t>1.合同依法履行了立</w:t>
            </w:r>
            <w:r>
              <w:rPr>
                <w:rFonts w:hint="eastAsia"/>
              </w:rPr>
              <w:t>项、谈判、修改、征求意见、委托或者授权、用印审批等起草和订立程序。</w:t>
            </w:r>
          </w:p>
          <w:p w14:paraId="4942F985">
            <w:pPr>
              <w:ind w:firstLine="420" w:firstLineChars="200"/>
              <w:jc w:val="left"/>
            </w:pPr>
            <w:r>
              <w:rPr>
                <w:rFonts w:hint="eastAsia" w:ascii="Times New Roman Regular" w:hAnsi="Times New Roman Regular" w:cs="Times New Roman Regular"/>
              </w:rPr>
              <w:t>2.合同未依法履行立</w:t>
            </w:r>
            <w:r>
              <w:rPr>
                <w:rFonts w:hint="eastAsia"/>
              </w:rPr>
              <w:t>项/谈判/修改/征求意见/委托或者授权/用印审批等起草和订立程序。</w:t>
            </w:r>
          </w:p>
          <w:p w14:paraId="732829DA">
            <w:pPr>
              <w:ind w:firstLine="420" w:firstLineChars="200"/>
              <w:jc w:val="left"/>
            </w:pPr>
            <w:r>
              <w:rPr>
                <w:rFonts w:hint="eastAsia"/>
              </w:rPr>
              <w:t>三、合同内容</w:t>
            </w:r>
          </w:p>
          <w:p w14:paraId="7A96C7D7">
            <w:pPr>
              <w:ind w:firstLine="420" w:firstLineChars="200"/>
              <w:jc w:val="left"/>
              <w:rPr>
                <w:rFonts w:ascii="Times New Roman Regular" w:hAnsi="Times New Roman Regular" w:cs="Times New Roman Regular"/>
              </w:rPr>
            </w:pPr>
            <w:r>
              <w:rPr>
                <w:rFonts w:ascii="Times New Roman Regular" w:hAnsi="Times New Roman Regular" w:cs="Times New Roman Regular"/>
              </w:rPr>
              <w:t>1.合同内容合法</w:t>
            </w:r>
          </w:p>
          <w:p w14:paraId="7D8BBD5D">
            <w:pPr>
              <w:ind w:firstLine="420" w:firstLineChars="200"/>
              <w:jc w:val="left"/>
              <w:rPr>
                <w:rFonts w:ascii="Times New Roman Regular" w:hAnsi="Times New Roman Regular" w:cs="Times New Roman Regular"/>
              </w:rPr>
            </w:pPr>
            <w:r>
              <w:rPr>
                <w:rFonts w:ascii="Times New Roman Regular" w:hAnsi="Times New Roman Regular" w:cs="Times New Roman Regular"/>
                <w:u w:val="single"/>
              </w:rPr>
              <w:t>《       》</w:t>
            </w:r>
            <w:r>
              <w:rPr>
                <w:rFonts w:ascii="Times New Roman Regular" w:hAnsi="Times New Roman Regular" w:cs="Times New Roman Regular"/>
              </w:rPr>
              <w:t>主要内容符合法律、法规、规章和政策规定。</w:t>
            </w:r>
          </w:p>
          <w:p w14:paraId="10A5E22E">
            <w:pPr>
              <w:ind w:firstLine="420" w:firstLineChars="200"/>
              <w:jc w:val="left"/>
              <w:rPr>
                <w:rFonts w:ascii="Times New Roman Regular" w:hAnsi="Times New Roman Regular" w:cs="Times New Roman Regular"/>
              </w:rPr>
            </w:pPr>
            <w:r>
              <w:rPr>
                <w:rFonts w:ascii="Times New Roman Regular" w:hAnsi="Times New Roman Regular" w:cs="Times New Roman Regular"/>
              </w:rPr>
              <w:t>2.合同内容部分违法或不当</w:t>
            </w:r>
          </w:p>
          <w:p w14:paraId="7DA505EE">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u w:val="single"/>
              </w:rPr>
              <w:t>《》</w:t>
            </w:r>
            <w:r>
              <w:rPr>
                <w:rFonts w:ascii="Times New Roman Regular" w:hAnsi="Times New Roman Regular" w:cs="Times New Roman Regular"/>
              </w:rPr>
              <w:t>主要内容基本符合法律、法规、规章和上级政策文件规定，但存在以下具体问题：</w:t>
            </w:r>
          </w:p>
          <w:p w14:paraId="4B918D54">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w:t>
            </w:r>
            <w:r>
              <w:rPr>
                <w:rFonts w:ascii="Times New Roman Regular" w:hAnsi="Times New Roman Regular" w:cs="Times New Roman Regular"/>
              </w:rPr>
              <w:t>1</w:t>
            </w:r>
            <w:r>
              <w:rPr>
                <w:rFonts w:hint="eastAsia" w:ascii="Times New Roman Regular" w:hAnsi="Times New Roman Regular" w:cs="Times New Roman Regular"/>
              </w:rPr>
              <w:t>）</w:t>
            </w:r>
            <w:r>
              <w:rPr>
                <w:rFonts w:ascii="Times New Roman Regular" w:hAnsi="Times New Roman Regular" w:cs="Times New Roman Regular"/>
              </w:rPr>
              <w:t>建议删除“</w:t>
            </w:r>
            <w:r>
              <w:rPr>
                <w:rFonts w:hint="eastAsia" w:ascii="Times New Roman Regular" w:hAnsi="Times New Roman Regular" w:cs="Times New Roman Regular"/>
              </w:rPr>
              <w:t>……</w:t>
            </w:r>
            <w:r>
              <w:rPr>
                <w:rFonts w:ascii="Times New Roman Regular" w:hAnsi="Times New Roman Regular" w:cs="Times New Roman Regular"/>
              </w:rPr>
              <w:t>”。理由：</w:t>
            </w:r>
            <w:r>
              <w:rPr>
                <w:rFonts w:hint="eastAsia" w:ascii="Times New Roman Regular" w:hAnsi="Times New Roman Regular" w:cs="Times New Roman Regular"/>
              </w:rPr>
              <w:t>……</w:t>
            </w:r>
            <w:r>
              <w:rPr>
                <w:rFonts w:ascii="Times New Roman Regular" w:hAnsi="Times New Roman Regular" w:cs="Times New Roman Regular"/>
              </w:rPr>
              <w:t>。</w:t>
            </w:r>
          </w:p>
          <w:p w14:paraId="33756338">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rPr>
              <w:t>（</w:t>
            </w:r>
            <w:r>
              <w:rPr>
                <w:rFonts w:ascii="Times New Roman Regular" w:hAnsi="Times New Roman Regular" w:cs="Times New Roman Regular"/>
              </w:rPr>
              <w:t>2</w:t>
            </w:r>
            <w:r>
              <w:rPr>
                <w:rFonts w:hint="eastAsia" w:ascii="Times New Roman Regular" w:hAnsi="Times New Roman Regular" w:cs="Times New Roman Regular"/>
              </w:rPr>
              <w:t>）</w:t>
            </w:r>
            <w:r>
              <w:rPr>
                <w:rFonts w:ascii="Times New Roman Regular" w:hAnsi="Times New Roman Regular" w:cs="Times New Roman Regular"/>
              </w:rPr>
              <w:t>建议将“</w:t>
            </w:r>
            <w:r>
              <w:rPr>
                <w:rFonts w:hint="eastAsia" w:ascii="Times New Roman Regular" w:hAnsi="Times New Roman Regular" w:cs="Times New Roman Regular"/>
              </w:rPr>
              <w:t>……</w:t>
            </w:r>
            <w:r>
              <w:rPr>
                <w:rFonts w:ascii="Times New Roman Regular" w:hAnsi="Times New Roman Regular" w:cs="Times New Roman Regular"/>
              </w:rPr>
              <w:t>”修改为“</w:t>
            </w:r>
            <w:r>
              <w:rPr>
                <w:rFonts w:hint="eastAsia" w:ascii="Times New Roman Regular" w:hAnsi="Times New Roman Regular" w:cs="Times New Roman Regular"/>
              </w:rPr>
              <w:t>……</w:t>
            </w:r>
            <w:r>
              <w:rPr>
                <w:rFonts w:ascii="Times New Roman Regular" w:hAnsi="Times New Roman Regular" w:cs="Times New Roman Regular"/>
              </w:rPr>
              <w:t>”。理由：</w:t>
            </w:r>
            <w:r>
              <w:rPr>
                <w:rFonts w:hint="eastAsia" w:ascii="Times New Roman Regular" w:hAnsi="Times New Roman Regular" w:cs="Times New Roman Regular"/>
              </w:rPr>
              <w:t>……</w:t>
            </w:r>
            <w:r>
              <w:rPr>
                <w:rFonts w:ascii="Times New Roman Regular" w:hAnsi="Times New Roman Regular" w:cs="Times New Roman Regular"/>
              </w:rPr>
              <w:t>。</w:t>
            </w:r>
          </w:p>
          <w:p w14:paraId="55EB0E9C">
            <w:pPr>
              <w:ind w:firstLine="420" w:firstLineChars="200"/>
              <w:jc w:val="left"/>
              <w:rPr>
                <w:rFonts w:ascii="Times New Roman Regular" w:hAnsi="Times New Roman Regular" w:cs="Times New Roman Regular"/>
              </w:rPr>
            </w:pPr>
            <w:r>
              <w:rPr>
                <w:rFonts w:ascii="Times New Roman Regular" w:hAnsi="Times New Roman Regular" w:cs="Times New Roman Regular"/>
              </w:rPr>
              <w:t>3.合同内容违法或明显不当</w:t>
            </w:r>
          </w:p>
          <w:p w14:paraId="0B0DA351">
            <w:pPr>
              <w:ind w:firstLine="420" w:firstLineChars="200"/>
              <w:jc w:val="left"/>
              <w:rPr>
                <w:rFonts w:ascii="Times New Roman Regular" w:hAnsi="Times New Roman Regular" w:cs="Times New Roman Regular"/>
              </w:rPr>
            </w:pPr>
            <w:r>
              <w:rPr>
                <w:rFonts w:hint="eastAsia" w:ascii="Times New Roman Regular" w:hAnsi="Times New Roman Regular" w:cs="Times New Roman Regular"/>
                <w:u w:val="single"/>
              </w:rPr>
              <w:t>《》</w:t>
            </w:r>
            <w:r>
              <w:rPr>
                <w:rFonts w:ascii="Times New Roman Regular" w:hAnsi="Times New Roman Regular" w:cs="Times New Roman Regular"/>
              </w:rPr>
              <w:t>主要内容违法</w:t>
            </w:r>
            <w:r>
              <w:rPr>
                <w:rFonts w:hint="eastAsia" w:ascii="Times New Roman Regular" w:hAnsi="Times New Roman Regular" w:cs="Times New Roman Regular"/>
              </w:rPr>
              <w:t>/</w:t>
            </w:r>
            <w:r>
              <w:rPr>
                <w:rFonts w:ascii="Times New Roman Regular" w:hAnsi="Times New Roman Regular" w:cs="Times New Roman Regular"/>
              </w:rPr>
              <w:t>不符合上级决策部署或国家改革方向，提出</w:t>
            </w:r>
            <w:r>
              <w:rPr>
                <w:rFonts w:hint="eastAsia" w:ascii="Times New Roman Regular" w:hAnsi="Times New Roman Regular" w:cs="Times New Roman Regular"/>
              </w:rPr>
              <w:t>合法性审核</w:t>
            </w:r>
            <w:r>
              <w:rPr>
                <w:rFonts w:ascii="Times New Roman Regular" w:hAnsi="Times New Roman Regular" w:cs="Times New Roman Regular"/>
              </w:rPr>
              <w:t>不通过的意见，建议</w:t>
            </w:r>
            <w:r>
              <w:rPr>
                <w:rFonts w:hint="eastAsia" w:ascii="Times New Roman Regular" w:hAnsi="Times New Roman Regular" w:cs="Times New Roman Regular"/>
              </w:rPr>
              <w:t>承办部门</w:t>
            </w:r>
            <w:r>
              <w:rPr>
                <w:rFonts w:ascii="Times New Roman Regular" w:hAnsi="Times New Roman Regular" w:cs="Times New Roman Regular"/>
              </w:rPr>
              <w:t>进行全面修改后再</w:t>
            </w:r>
            <w:r>
              <w:rPr>
                <w:rFonts w:hint="eastAsia" w:ascii="Times New Roman Regular" w:hAnsi="Times New Roman Regular" w:cs="Times New Roman Regular"/>
              </w:rPr>
              <w:t>报送合法性审核</w:t>
            </w:r>
            <w:r>
              <w:rPr>
                <w:rFonts w:ascii="Times New Roman Regular" w:hAnsi="Times New Roman Regular" w:cs="Times New Roman Regular"/>
              </w:rPr>
              <w:t>。</w:t>
            </w:r>
          </w:p>
          <w:p w14:paraId="3C504F73">
            <w:pPr>
              <w:ind w:firstLine="440" w:firstLineChars="200"/>
              <w:jc w:val="right"/>
              <w:rPr>
                <w:rFonts w:ascii="宋体" w:hAnsi="Times New Roman"/>
                <w:kern w:val="0"/>
                <w:sz w:val="22"/>
              </w:rPr>
            </w:pPr>
            <w:r>
              <w:rPr>
                <w:rFonts w:hint="eastAsia" w:ascii="宋体" w:hAnsi="Times New Roman"/>
                <w:kern w:val="0"/>
                <w:sz w:val="22"/>
              </w:rPr>
              <w:t>南通市司法局（印章）</w:t>
            </w:r>
          </w:p>
          <w:p w14:paraId="21D2BC98">
            <w:pPr>
              <w:wordWrap w:val="0"/>
              <w:ind w:firstLine="440" w:firstLineChars="200"/>
              <w:jc w:val="right"/>
              <w:rPr>
                <w:rFonts w:ascii="宋体" w:hAnsi="Times New Roman"/>
                <w:kern w:val="0"/>
                <w:sz w:val="22"/>
              </w:rPr>
            </w:pPr>
            <w:r>
              <w:rPr>
                <w:rFonts w:hint="eastAsia" w:ascii="宋体" w:hAnsi="Times New Roman"/>
                <w:kern w:val="0"/>
                <w:sz w:val="22"/>
              </w:rPr>
              <w:t>年  月  日</w:t>
            </w:r>
          </w:p>
          <w:p w14:paraId="1B246C08">
            <w:pPr>
              <w:pStyle w:val="57"/>
              <w:ind w:firstLine="0" w:firstLineChars="0"/>
            </w:pPr>
          </w:p>
        </w:tc>
      </w:tr>
    </w:tbl>
    <w:p w14:paraId="0D8DB643">
      <w:pPr>
        <w:pStyle w:val="84"/>
        <w:spacing w:before="156" w:after="156"/>
      </w:pPr>
      <w:r>
        <w:rPr>
          <w:rFonts w:hint="eastAsia"/>
        </w:rPr>
        <w:t>政府合同合法性审核意见参考样式</w:t>
      </w:r>
    </w:p>
    <w:p w14:paraId="5F52D419">
      <w:pPr>
        <w:pStyle w:val="57"/>
        <w:ind w:firstLine="420"/>
      </w:pPr>
    </w:p>
    <w:p w14:paraId="35C06A1B">
      <w:pPr>
        <w:pStyle w:val="57"/>
        <w:ind w:firstLine="420"/>
      </w:pPr>
    </w:p>
    <w:p w14:paraId="5C368B38">
      <w:pPr>
        <w:pStyle w:val="57"/>
        <w:ind w:firstLine="420"/>
      </w:pPr>
    </w:p>
    <w:bookmarkEnd w:id="76"/>
    <w:p w14:paraId="1BC357FB">
      <w:pPr>
        <w:pStyle w:val="57"/>
        <w:ind w:firstLine="420"/>
        <w:sectPr>
          <w:pgSz w:w="11906" w:h="16838"/>
          <w:pgMar w:top="2410" w:right="1134" w:bottom="1134" w:left="1134" w:header="1418" w:footer="1134" w:gutter="284"/>
          <w:cols w:space="425" w:num="1"/>
          <w:formProt w:val="0"/>
          <w:docGrid w:type="lines" w:linePitch="312" w:charSpace="0"/>
        </w:sectPr>
      </w:pPr>
      <w:bookmarkStart w:id="79" w:name="BookMark6"/>
    </w:p>
    <w:p w14:paraId="5C960CB2">
      <w:pPr>
        <w:pStyle w:val="64"/>
        <w:spacing w:before="124" w:after="156"/>
      </w:pPr>
      <w:bookmarkStart w:id="80" w:name="_Toc177245251"/>
      <w:bookmarkStart w:id="81" w:name="_Toc178086516"/>
      <w:r>
        <w:rPr>
          <w:rFonts w:hint="eastAsia"/>
          <w:spacing w:val="105"/>
        </w:rPr>
        <w:t>参考文</w:t>
      </w:r>
      <w:r>
        <w:rPr>
          <w:rFonts w:hint="eastAsia"/>
        </w:rPr>
        <w:t>献</w:t>
      </w:r>
      <w:bookmarkEnd w:id="80"/>
      <w:bookmarkEnd w:id="81"/>
    </w:p>
    <w:p w14:paraId="0CF096FC">
      <w:pPr>
        <w:pStyle w:val="57"/>
        <w:ind w:firstLine="420"/>
      </w:pPr>
      <w:r>
        <w:rPr>
          <w:rFonts w:hint="eastAsia"/>
        </w:rPr>
        <w:t>[1]中华人民共和国民法典（合同编）</w:t>
      </w:r>
    </w:p>
    <w:p w14:paraId="68EA0AC0">
      <w:pPr>
        <w:pStyle w:val="57"/>
        <w:ind w:firstLine="420"/>
      </w:pPr>
      <w:r>
        <w:rPr>
          <w:rFonts w:hint="eastAsia"/>
        </w:rPr>
        <w:t>[2]最高人民法院关于适用《中华人民共和国民法典》合同编通则若干问题的解释（法释〔2023〕13号）</w:t>
      </w:r>
    </w:p>
    <w:p w14:paraId="4428C5E2">
      <w:pPr>
        <w:pStyle w:val="57"/>
        <w:ind w:firstLine="420"/>
      </w:pPr>
      <w:r>
        <w:rPr>
          <w:rFonts w:hint="eastAsia"/>
        </w:rPr>
        <w:t>[3]</w:t>
      </w:r>
      <w:r>
        <w:rPr>
          <w:rFonts w:hAnsi="宋体"/>
          <w:kern w:val="2"/>
          <w:szCs w:val="21"/>
        </w:rPr>
        <w:t>中华人民共和国行政诉讼法</w:t>
      </w:r>
    </w:p>
    <w:p w14:paraId="75652596">
      <w:pPr>
        <w:pStyle w:val="57"/>
        <w:ind w:firstLine="420"/>
      </w:pPr>
      <w:r>
        <w:rPr>
          <w:rFonts w:hint="eastAsia"/>
        </w:rPr>
        <w:t>[4]中华人民共和国政府采购法（2014修正）</w:t>
      </w:r>
    </w:p>
    <w:p w14:paraId="657ED323">
      <w:pPr>
        <w:pStyle w:val="57"/>
        <w:ind w:firstLine="420"/>
      </w:pPr>
      <w:r>
        <w:rPr>
          <w:rFonts w:hint="eastAsia"/>
        </w:rPr>
        <w:t>[5]中华人民共和国招标投标法（2017修正）</w:t>
      </w:r>
    </w:p>
    <w:p w14:paraId="40A2EFB8">
      <w:pPr>
        <w:pStyle w:val="57"/>
        <w:ind w:firstLine="420"/>
      </w:pPr>
      <w:r>
        <w:rPr>
          <w:rFonts w:hint="eastAsia"/>
        </w:rPr>
        <w:t>[6]中华人民共和国招标投标法实施条例（2019修正）</w:t>
      </w:r>
    </w:p>
    <w:p w14:paraId="6A52B76D">
      <w:pPr>
        <w:pStyle w:val="57"/>
        <w:ind w:firstLine="420"/>
        <w:rPr>
          <w:szCs w:val="21"/>
        </w:rPr>
      </w:pPr>
      <w:r>
        <w:rPr>
          <w:rFonts w:hint="eastAsia"/>
        </w:rPr>
        <w:t>[7]最高人民法院关于审理行政协议案件若干问题的规定</w:t>
      </w:r>
      <w:r>
        <w:rPr>
          <w:rFonts w:hint="eastAsia"/>
          <w:szCs w:val="21"/>
        </w:rPr>
        <w:t>（法释〔2019〕17号）</w:t>
      </w:r>
    </w:p>
    <w:p w14:paraId="20C2E036">
      <w:pPr>
        <w:pStyle w:val="57"/>
        <w:ind w:firstLine="420"/>
      </w:pPr>
      <w:r>
        <w:rPr>
          <w:rFonts w:hint="eastAsia"/>
        </w:rPr>
        <w:t>[8]</w:t>
      </w:r>
      <w:r>
        <w:rPr>
          <w:rFonts w:hint="eastAsia"/>
          <w:szCs w:val="21"/>
        </w:rPr>
        <w:t>最高人民法院关于适用《中华人民共和国行政诉讼法》若干问题的解释（法释〔2015〕9号）</w:t>
      </w:r>
    </w:p>
    <w:p w14:paraId="2CCB36E4">
      <w:pPr>
        <w:pStyle w:val="57"/>
        <w:ind w:firstLine="420"/>
      </w:pPr>
      <w:r>
        <w:rPr>
          <w:rFonts w:hint="eastAsia"/>
        </w:rPr>
        <w:t>[9]江苏省行政程序条例</w:t>
      </w:r>
    </w:p>
    <w:p w14:paraId="2E81540F">
      <w:pPr>
        <w:pStyle w:val="57"/>
        <w:ind w:firstLine="420"/>
      </w:pPr>
    </w:p>
    <w:p w14:paraId="4C65B4E1">
      <w:pPr>
        <w:pStyle w:val="57"/>
        <w:ind w:firstLine="420"/>
      </w:pPr>
    </w:p>
    <w:p w14:paraId="2B5848C1">
      <w:pPr>
        <w:pStyle w:val="57"/>
        <w:ind w:firstLine="420"/>
      </w:pPr>
    </w:p>
    <w:p w14:paraId="16D7A521">
      <w:pPr>
        <w:pStyle w:val="57"/>
        <w:ind w:firstLine="420"/>
      </w:pPr>
    </w:p>
    <w:bookmarkEnd w:id="79"/>
    <w:p w14:paraId="1B75B18E">
      <w:pPr>
        <w:pStyle w:val="57"/>
        <w:ind w:firstLine="0" w:firstLineChars="0"/>
        <w:jc w:val="center"/>
      </w:pPr>
      <w:bookmarkStart w:id="82" w:name="BookMark8"/>
      <w:r>
        <w:drawing>
          <wp:inline distT="0" distB="0" distL="0" distR="0">
            <wp:extent cx="1485900" cy="317500"/>
            <wp:effectExtent l="0" t="0" r="0" b="6350"/>
            <wp:docPr id="1637078408" name="图片 1"/>
            <wp:cNvGraphicFramePr/>
            <a:graphic xmlns:a="http://schemas.openxmlformats.org/drawingml/2006/main">
              <a:graphicData uri="http://schemas.openxmlformats.org/drawingml/2006/picture">
                <pic:pic xmlns:pic="http://schemas.openxmlformats.org/drawingml/2006/picture">
                  <pic:nvPicPr>
                    <pic:cNvPr id="1637078408"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D00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31B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65E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C0A4F">
    <w:pPr>
      <w:pStyle w:val="53"/>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822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6A3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8A2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3F39B">
    <w:pPr>
      <w:pStyle w:val="62"/>
    </w:pPr>
    <w:r>
      <w:fldChar w:fldCharType="begin"/>
    </w:r>
    <w:r>
      <w:instrText xml:space="preserve"> STYLEREF  标准文件_文件编号  \* MERGEFORMAT </w:instrText>
    </w:r>
    <w:r>
      <w:fldChar w:fldCharType="separate"/>
    </w:r>
    <w:r>
      <w:t>DB3206/TXXXX—2024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0647">
    <w:pPr>
      <w:pStyle w:val="18"/>
      <w:jc w:val="right"/>
      <w:rPr>
        <w:lang w:val="fr-FR"/>
      </w:rPr>
    </w:pPr>
    <w:r>
      <w:fldChar w:fldCharType="begin"/>
    </w:r>
    <w:r>
      <w:instrText xml:space="preserve"> STYLEREF  标准文件_文件编号  \* MERGEFORMAT </w:instrText>
    </w:r>
    <w:r>
      <w:fldChar w:fldCharType="separate"/>
    </w:r>
    <w:r>
      <w:t>DB3206/TXXXX—2024</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Full" w:cryptAlgorithmClass="hash" w:cryptAlgorithmType="typeAny" w:cryptAlgorithmSid="4" w:cryptSpinCount="50000" w:hash="AK/aaLqrg4gvIVdS+XL+378c1nM=" w:salt="hP9XpVaAGcQFGYeiU5iXZ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0YzJlZjM2ZWY4NDI2M2U1YmRhMzRjYTJlYTc5MmUifQ=="/>
  </w:docVars>
  <w:rsids>
    <w:rsidRoot w:val="00B8735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3A6"/>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802"/>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D0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624A"/>
    <w:rsid w:val="009674AD"/>
    <w:rsid w:val="00970CDC"/>
    <w:rsid w:val="00977010"/>
    <w:rsid w:val="00977D02"/>
    <w:rsid w:val="009809BB"/>
    <w:rsid w:val="0098364B"/>
    <w:rsid w:val="00985538"/>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5DE4"/>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11D"/>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7B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357"/>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FF4"/>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2F8"/>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4D23"/>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6A54DE9"/>
    <w:rsid w:val="27AA49CD"/>
    <w:rsid w:val="2A0836C6"/>
    <w:rsid w:val="2AF97813"/>
    <w:rsid w:val="2E533821"/>
    <w:rsid w:val="3F5131D2"/>
    <w:rsid w:val="4D1C675D"/>
    <w:rsid w:val="598754BF"/>
    <w:rsid w:val="6AC67D1B"/>
    <w:rsid w:val="7F0B4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Autospacing="1" w:afterAutospacing="1"/>
      <w:jc w:val="left"/>
    </w:pPr>
    <w:rPr>
      <w:kern w:val="0"/>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1D49C3C0DF4E1299967DA524BF2455"/>
        <w:style w:val=""/>
        <w:category>
          <w:name w:val="常规"/>
          <w:gallery w:val="placeholder"/>
        </w:category>
        <w:types>
          <w:type w:val="bbPlcHdr"/>
        </w:types>
        <w:behaviors>
          <w:behavior w:val="content"/>
        </w:behaviors>
        <w:description w:val=""/>
        <w:guid w:val="{FE02A834-E53C-431A-884A-C5BE8ED91F49}"/>
      </w:docPartPr>
      <w:docPartBody>
        <w:p w14:paraId="4CB89676">
          <w:pPr>
            <w:pStyle w:val="5"/>
          </w:pPr>
          <w:r>
            <w:rPr>
              <w:rStyle w:val="4"/>
              <w:rFonts w:hint="eastAsia"/>
            </w:rPr>
            <w:t>单击或点击此处输入文字。</w:t>
          </w:r>
        </w:p>
      </w:docPartBody>
    </w:docPart>
    <w:docPart>
      <w:docPartPr>
        <w:name w:val="760FA508F51142FA9B8B217542996D96"/>
        <w:style w:val=""/>
        <w:category>
          <w:name w:val="常规"/>
          <w:gallery w:val="placeholder"/>
        </w:category>
        <w:types>
          <w:type w:val="bbPlcHdr"/>
        </w:types>
        <w:behaviors>
          <w:behavior w:val="content"/>
        </w:behaviors>
        <w:description w:val=""/>
        <w:guid w:val="{703AE9FA-00EE-46CB-BA8A-2AE0C509557B}"/>
      </w:docPartPr>
      <w:docPartBody>
        <w:p w14:paraId="616630A6">
          <w:pPr>
            <w:pStyle w:val="6"/>
          </w:pPr>
          <w:r>
            <w:rPr>
              <w:rStyle w:val="4"/>
              <w:rFonts w:hint="eastAsia"/>
            </w:rPr>
            <w:t>选择一项。</w:t>
          </w:r>
        </w:p>
      </w:docPartBody>
    </w:docPart>
    <w:docPart>
      <w:docPartPr>
        <w:name w:val="851E260BF17C4B5A838A6E2EE293C5D7"/>
        <w:style w:val=""/>
        <w:category>
          <w:name w:val="常规"/>
          <w:gallery w:val="placeholder"/>
        </w:category>
        <w:types>
          <w:type w:val="bbPlcHdr"/>
        </w:types>
        <w:behaviors>
          <w:behavior w:val="content"/>
        </w:behaviors>
        <w:description w:val=""/>
        <w:guid w:val="{9B3B3012-3407-4771-95DB-8FA55CD5CFBB}"/>
      </w:docPartPr>
      <w:docPartBody>
        <w:p w14:paraId="7005AEE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340B"/>
    <w:rsid w:val="0017340B"/>
    <w:rsid w:val="007F5D00"/>
    <w:rsid w:val="00970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11D49C3C0DF4E1299967DA524BF24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60FA508F51142FA9B8B217542996D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51E260BF17C4B5A838A6E2EE293C5D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EF73D-4A18-4DC4-92AD-9A8E6783CED4}">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7053</Words>
  <Characters>7318</Characters>
  <Lines>64</Lines>
  <Paragraphs>18</Paragraphs>
  <TotalTime>88</TotalTime>
  <ScaleCrop>false</ScaleCrop>
  <LinksUpToDate>false</LinksUpToDate>
  <CharactersWithSpaces>7412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2024-09-14T13:44:00Z</dcterms:created>
  <dc:creator>wj zhu</dc:creator>
  <dc:description>&lt;config cover="true" show_menu="true" version="1.0.0" doctype="SDKXY"&gt;_x000d_
&lt;/config&gt;</dc:description>
  <cp:lastModifiedBy>张洁</cp:lastModifiedBy>
  <cp:lastPrinted>2020-08-30T10:00:00Z</cp:lastPrinted>
  <dcterms:modified xsi:type="dcterms:W3CDTF">2024-09-27T06:14:33Z</dcterms:modified>
  <dc:title>地方标准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9E8B2C0F401B4FBE9267F75713E82320_13</vt:lpwstr>
  </property>
</Properties>
</file>