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60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长期照护服务驿站建设与管理规范</w:t>
      </w:r>
    </w:p>
    <w:p>
      <w:pPr>
        <w:spacing w:line="600" w:lineRule="exact"/>
        <w:jc w:val="center"/>
        <w:rPr>
          <w:rFonts w:ascii="楷体" w:hAnsi="楷体" w:eastAsia="楷体"/>
          <w:sz w:val="32"/>
          <w:szCs w:val="32"/>
        </w:rPr>
      </w:pPr>
    </w:p>
    <w:p>
      <w:pPr>
        <w:jc w:val="center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报批</w:t>
      </w:r>
      <w:r>
        <w:rPr>
          <w:rFonts w:hint="eastAsia" w:ascii="楷体" w:hAnsi="楷体" w:eastAsia="楷体"/>
          <w:sz w:val="32"/>
          <w:szCs w:val="32"/>
          <w:highlight w:val="none"/>
        </w:rPr>
        <w:t>稿）</w:t>
      </w:r>
    </w:p>
    <w:p/>
    <w:p/>
    <w:p/>
    <w:p>
      <w:pPr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编</w:t>
      </w:r>
    </w:p>
    <w:p>
      <w:pPr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制</w:t>
      </w:r>
    </w:p>
    <w:p>
      <w:pPr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说</w:t>
      </w:r>
    </w:p>
    <w:p>
      <w:pPr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明</w:t>
      </w:r>
    </w:p>
    <w:p/>
    <w:p/>
    <w:p/>
    <w:p/>
    <w:p/>
    <w:p/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二0二四年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十一</w:t>
      </w:r>
      <w:r>
        <w:rPr>
          <w:rFonts w:hint="eastAsia" w:ascii="黑体" w:hAnsi="黑体" w:eastAsia="黑体"/>
          <w:sz w:val="44"/>
          <w:szCs w:val="44"/>
        </w:rPr>
        <w:t>月</w:t>
      </w:r>
    </w:p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8" w:name="_GoBack"/>
      <w:bookmarkEnd w:id="8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地方标准《长期照护服务驿站建设</w:t>
      </w:r>
    </w:p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与管理规范》编制说明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长期照护服务驿站，由镇（区、街道）的居家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护理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服务机构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设立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，为乡镇村居、城市社区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分散居住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的失能（失智）人员提供居家生活照料、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与基本生活照料密切相关的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医疗护理、健康管理等长期照护服务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开展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社会化照护服务的基层站点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。长期照护服务驿站建设，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有利于参保群众就近咨询长期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护理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保险政策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体验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选择居家服务项目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有利于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就近开展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居家上门服务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质量跟踪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提效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照护服务人员职业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道德教育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职业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技能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利于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照护服务人员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就近休息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午间助餐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有利于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照护行业开展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家庭照护技能培训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爱心帮扶等社会化志愿服务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。建立覆盖全域的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网格化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标准化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规范化长期照护服务驿站体系，推进照护资源、服务、管理向基层一线下沉，可有效提升长期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护理保险基层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服务的可及性和便捷性，进一步提高参保群众的获得感、幸福感。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二、任务来源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南通市标准化工作联席会议办公室文件《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组织申报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南通市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地方标准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通知》（通标联办发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1号）要求，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如东县医疗保障局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南通市标准化工作联席会议办公室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提出制定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南通市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地方标准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长期照护服务驿站建设与管理规范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的申请，通过专家立项论证，202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，《南通市市场监督管理局关于下达2024年度第二批南通市地方标准项目计划的通知》（通市监函〔2024〕38号）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明确，《长期照护服务驿站建设与管理规范》被正式列入项目计划，由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如东县医疗保障局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如东县市场监督管理局、南通市质量技术和标准化中心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共同起草。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三、编制过程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组织领导，202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月，接到立项通知后，成立了由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如东县医疗保障局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如东县市场监督管理局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等单位组成的标准起草组，明确了标准起草组成员和任务分工，拟定了标准编制工作计划，按照计划有力有序推动标准起草的各项工作。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2.深入开展调研，202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对如东县所有镇（区、街道）长期照护服务驿站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进行实地调研，了解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驿站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环境、布局、设施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事项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、运行管理等实际情况。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3.起草标准草案，202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月，按照GB/T 1.1-2020 标准化工作导则的要求，结合调研和工作实际，搭建草案架构，起草标准内容，经过深入研讨和反复修改，形成标准草案。邀请业内外专家对草案进行阶段性评审，根据评审意见对标准文本进行修改。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4.广泛征求意见，2024年6-8月，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全市医保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行政管理和经办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系统内部、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定点服务机构、照护行业协会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、部分行业专家中广泛征求意见建议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并对征集到的意见逐条梳理研究，根据采纳的意见进行修改，形成标准征求意见稿、标准编制说明。9-10月，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标准征求意见稿、标准编制说明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行政主管部门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审查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行政主管部门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审查符合要求的地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方标准征求意见稿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标准编制说明在部门网站公开征求意见。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5.申请报批发布，2024年11月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送审进行材料审查，按照审查会议意见进行修改并形成报批材料，申请公示和发布。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本标准规定了长期照护服务驿站建设与管理的术语和定义、建设要求、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服务内容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管理要求、服务质量评价要求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本标准适用于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南通市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辖区内长期照护服务驿站的建设与管理。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本标准包括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个章节，主要内容为：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第1章 范围：规定了标准的主要内容和适用范围。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第2章 规范性引用文件：GB/T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353-2012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、DB 33/T926-2014、DJG330424T 60-2021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第3章 术语和定义：主要对长期照护服务驿站进行了明确的界定。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第4章 建设要求：提出了长期照护服务驿站在选址、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功能分区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bookmarkStart w:id="0" w:name="_Toc163652567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服务设施配置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bookmarkStart w:id="1" w:name="_Toc163652568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服务标识、环境及安全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方面的要求。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第5章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服务内容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包括长期护理保险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政策咨询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、医保部门制定的服务清单、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照护服务人员职业道德教育，服务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技能培训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、家庭照护知识普及和培训、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照护服务人员生活服务、志愿服务等方面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第6章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管理要求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围绕长期照护服务驿站运行管理，从</w:t>
      </w:r>
      <w:bookmarkStart w:id="2" w:name="_Toc16365257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服务机构要求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bookmarkStart w:id="3" w:name="_Toc163652571"/>
      <w:bookmarkStart w:id="4" w:name="_Toc163652572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照护服务人员要求</w:t>
      </w:r>
      <w:bookmarkEnd w:id="3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、服务过程控制</w:t>
      </w:r>
      <w:bookmarkEnd w:id="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bookmarkStart w:id="5" w:name="_Toc163652573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服务安排</w:t>
      </w:r>
      <w:bookmarkEnd w:id="5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bookmarkStart w:id="6" w:name="_Toc16365257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意外事件处</w:t>
      </w:r>
      <w:bookmarkEnd w:id="6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bookmarkStart w:id="7" w:name="_Toc163652575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档案管理</w:t>
      </w:r>
      <w:bookmarkEnd w:id="7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等方面提出要求。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第7章 服务质量评价要求：针对标准实施和提升服务，明确了相应的评价主体、评价指标、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评价方法和服务质量改进方法。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技术指标确定的依据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1.标准制定的原则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科学性原则。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标准的制定严格按照GB/T 1.1—2020《标准化工作导则  第1部分：标准化文件的结构和起草规则》的规定起草，确保设计科学、结构协调、格式规范。标准分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个章节介绍了长期照护服务驿站的建设与管理要求，其中，有许多内容是参考了国家、省三化文件和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北京市地方标准《养老服务驿站设施设备配置规范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（2）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协调性原则。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标准编制过程中做到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符合国家及地方相关法律法规和政策文件的规定，符合相关强制性标准、国家标准和行业标准的要求。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（3）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可行性原则。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标准的制定遵循我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市长期护理保险服务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的实际情况，在充分调查研究的基础上，形成标准草案。标准编制过程中实地调研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基层长期照护保险服务驿站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，覆盖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如东县各镇（区、街道），其中，乡镇（街道）层级驿站14个，社区层级驿站1个。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（4）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适用性原则。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标准制定过程中充分征求各方意见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建议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，确保标准的制定、实施和应用具有普遍适用性。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2.标准制定的依据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《中华人民共和国标准化法》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《江苏省地方标准管理规定》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《标准化工作导则  第1部分：标准化文件的结构和起草规则》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default" w:ascii="楷体" w:hAnsi="楷体" w:eastAsia="楷体" w:cs="楷体"/>
          <w:sz w:val="32"/>
          <w:szCs w:val="32"/>
        </w:rPr>
        <w:t>.参考文件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［1］养老机构护理站基本标准（试行）（国卫办医发〔2014〕57号）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［2］社区养老服务驿站设施设计和服务标准（试行）（京民福发〔2016〕392号）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［3］健康照护师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长期照护师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国家职业标准 GZB 4-14-01-03（2024年版）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［4］长期护理保险护理服务机构定点管理办法（试行）（医保办发〔2024〕21号）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］《如东县镇、区（街道）长期照护服务驿站建设指导意见》（东医保〔2023〕49号）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重大分歧意见的处理过程和依据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、与相关法律法规和标准的关系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本标准与现行法律法规相互协调，没有冲突。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、推广实施建议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本标准为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南通市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地方标准，标准发布后，在全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推广实施。建议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市医保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局、各地结合实际做好标准的宣贯实施工作，通过编印宣传资料、张贴宣传挂图、制作专题展板、组织专题宣讲等多种形式开展标准宣贯培训，确保标准在全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范围内推广实施。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起草单位和起草人员信息及分工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8864" w:type="dxa"/>
        <w:tblInd w:w="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90"/>
        <w:gridCol w:w="2550"/>
        <w:gridCol w:w="1785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范  蓓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如东县医疗保障局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局党组成员、副局长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提出框架标准、主要内容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凌  晨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如东县医疗保险管理中心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对内容进行校对、审核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季卫秋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如东县医疗保险管理中心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长期照护保险科科长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负责起草、沟通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丁小倩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如东县医疗保障局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办公室科员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负责起草、沟通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郁翠梅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如东县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市场监督管理局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局党组成员、副局长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负责审核、沟通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朱晓雷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南通市质量技术和标准化中心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负责起草、沟通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杨  雪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南通市质量技术和标准化中心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负责起草、沟通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李润露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南通市质量技术和标准化中心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负责起草、沟通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footerReference r:id="rId3" w:type="default"/>
      <w:pgSz w:w="11906" w:h="16838"/>
      <w:pgMar w:top="1814" w:right="1531" w:bottom="1984" w:left="1531" w:header="1531" w:footer="714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WRiZTM3MGFlNDgyODk3OWVhY2E3MGYyNDVlNGMifQ=="/>
  </w:docVars>
  <w:rsids>
    <w:rsidRoot w:val="00A8781B"/>
    <w:rsid w:val="000C45F1"/>
    <w:rsid w:val="00135B3B"/>
    <w:rsid w:val="00150E9D"/>
    <w:rsid w:val="00192098"/>
    <w:rsid w:val="00217B4C"/>
    <w:rsid w:val="00230361"/>
    <w:rsid w:val="002535B6"/>
    <w:rsid w:val="002770AC"/>
    <w:rsid w:val="002C4311"/>
    <w:rsid w:val="002F19BF"/>
    <w:rsid w:val="00370A19"/>
    <w:rsid w:val="003D0020"/>
    <w:rsid w:val="003F5963"/>
    <w:rsid w:val="00453602"/>
    <w:rsid w:val="00453B64"/>
    <w:rsid w:val="004642DA"/>
    <w:rsid w:val="004961A5"/>
    <w:rsid w:val="004D6AEB"/>
    <w:rsid w:val="004E34D4"/>
    <w:rsid w:val="00522052"/>
    <w:rsid w:val="005719CD"/>
    <w:rsid w:val="005C610F"/>
    <w:rsid w:val="005C7292"/>
    <w:rsid w:val="006105A8"/>
    <w:rsid w:val="006220EE"/>
    <w:rsid w:val="006277A4"/>
    <w:rsid w:val="00627E6B"/>
    <w:rsid w:val="00630AFC"/>
    <w:rsid w:val="006840E5"/>
    <w:rsid w:val="006B76B4"/>
    <w:rsid w:val="007139C9"/>
    <w:rsid w:val="007536F0"/>
    <w:rsid w:val="008B5D59"/>
    <w:rsid w:val="008F7DB6"/>
    <w:rsid w:val="00937F4F"/>
    <w:rsid w:val="009759A2"/>
    <w:rsid w:val="00986E6D"/>
    <w:rsid w:val="009B27AA"/>
    <w:rsid w:val="009B6B43"/>
    <w:rsid w:val="00A8781B"/>
    <w:rsid w:val="00AA2F89"/>
    <w:rsid w:val="00B80976"/>
    <w:rsid w:val="00B83481"/>
    <w:rsid w:val="00BC481F"/>
    <w:rsid w:val="00BC4E6C"/>
    <w:rsid w:val="00C24488"/>
    <w:rsid w:val="00C92968"/>
    <w:rsid w:val="00CA1DEC"/>
    <w:rsid w:val="00D257C4"/>
    <w:rsid w:val="00D6728A"/>
    <w:rsid w:val="00DC4DB1"/>
    <w:rsid w:val="00EC3B15"/>
    <w:rsid w:val="00EC6557"/>
    <w:rsid w:val="00F40F3E"/>
    <w:rsid w:val="00F57F12"/>
    <w:rsid w:val="00F66B33"/>
    <w:rsid w:val="00FB3D8D"/>
    <w:rsid w:val="01AC264C"/>
    <w:rsid w:val="033A420C"/>
    <w:rsid w:val="04D8694E"/>
    <w:rsid w:val="07B62F76"/>
    <w:rsid w:val="0C4274CE"/>
    <w:rsid w:val="0C7358DA"/>
    <w:rsid w:val="104E5D16"/>
    <w:rsid w:val="10704244"/>
    <w:rsid w:val="13EF75C4"/>
    <w:rsid w:val="14690697"/>
    <w:rsid w:val="15266B2A"/>
    <w:rsid w:val="1A7A7E33"/>
    <w:rsid w:val="1B6D3826"/>
    <w:rsid w:val="1E0D0FBE"/>
    <w:rsid w:val="22CC1448"/>
    <w:rsid w:val="23151041"/>
    <w:rsid w:val="24A02ABB"/>
    <w:rsid w:val="24A02B8C"/>
    <w:rsid w:val="273870AC"/>
    <w:rsid w:val="281E0236"/>
    <w:rsid w:val="290709E8"/>
    <w:rsid w:val="29D107BD"/>
    <w:rsid w:val="2BCF4D74"/>
    <w:rsid w:val="2E141EF5"/>
    <w:rsid w:val="31796C3F"/>
    <w:rsid w:val="317C6C03"/>
    <w:rsid w:val="31D16A7B"/>
    <w:rsid w:val="338E1E3E"/>
    <w:rsid w:val="3390201E"/>
    <w:rsid w:val="33E161B7"/>
    <w:rsid w:val="343926B5"/>
    <w:rsid w:val="35335357"/>
    <w:rsid w:val="379A4B76"/>
    <w:rsid w:val="3BAC7C11"/>
    <w:rsid w:val="3CF90C34"/>
    <w:rsid w:val="3DAC6723"/>
    <w:rsid w:val="3DBA4867"/>
    <w:rsid w:val="3DBE0B2A"/>
    <w:rsid w:val="3ED27DDE"/>
    <w:rsid w:val="410C52A8"/>
    <w:rsid w:val="43C92044"/>
    <w:rsid w:val="44E67CEF"/>
    <w:rsid w:val="469C0A1A"/>
    <w:rsid w:val="4B06533F"/>
    <w:rsid w:val="4C567E51"/>
    <w:rsid w:val="4CBD34B2"/>
    <w:rsid w:val="4ED4505D"/>
    <w:rsid w:val="5039786D"/>
    <w:rsid w:val="50D91050"/>
    <w:rsid w:val="517F7502"/>
    <w:rsid w:val="551C2364"/>
    <w:rsid w:val="57405EF0"/>
    <w:rsid w:val="580B57CA"/>
    <w:rsid w:val="593E5EF4"/>
    <w:rsid w:val="5AB94DBC"/>
    <w:rsid w:val="5B663F46"/>
    <w:rsid w:val="5CE42072"/>
    <w:rsid w:val="5DE419FA"/>
    <w:rsid w:val="62976675"/>
    <w:rsid w:val="62D81168"/>
    <w:rsid w:val="62E92F66"/>
    <w:rsid w:val="63155F18"/>
    <w:rsid w:val="63365676"/>
    <w:rsid w:val="66FE6984"/>
    <w:rsid w:val="67F56318"/>
    <w:rsid w:val="6888718C"/>
    <w:rsid w:val="69395194"/>
    <w:rsid w:val="69FD06D3"/>
    <w:rsid w:val="6A697DA6"/>
    <w:rsid w:val="6ABF50F0"/>
    <w:rsid w:val="6B560E7C"/>
    <w:rsid w:val="6C3752E5"/>
    <w:rsid w:val="6E396833"/>
    <w:rsid w:val="70FF61CD"/>
    <w:rsid w:val="710D5855"/>
    <w:rsid w:val="744D383C"/>
    <w:rsid w:val="75F06371"/>
    <w:rsid w:val="78B47B29"/>
    <w:rsid w:val="7E2E3053"/>
    <w:rsid w:val="7ED82437"/>
    <w:rsid w:val="7F4A6AF1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1">
    <w:name w:val="标准文件_一级条标题"/>
    <w:basedOn w:val="12"/>
    <w:next w:val="13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2">
    <w:name w:val="标准文件_章标题"/>
    <w:next w:val="13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标准文件_一级无标题"/>
    <w:basedOn w:val="11"/>
    <w:qFormat/>
    <w:uiPriority w:val="0"/>
    <w:pPr>
      <w:spacing w:beforeLines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2654</Words>
  <Characters>2798</Characters>
  <Lines>26</Lines>
  <Paragraphs>7</Paragraphs>
  <TotalTime>13</TotalTime>
  <ScaleCrop>false</ScaleCrop>
  <LinksUpToDate>false</LinksUpToDate>
  <CharactersWithSpaces>2835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2024-03-12T09:06:00Z</dcterms:created>
  <dc:creator>微软用户</dc:creator>
  <cp:lastModifiedBy>ht706</cp:lastModifiedBy>
  <cp:lastPrinted>2024-11-25T16:44:00Z</cp:lastPrinted>
  <dcterms:modified xsi:type="dcterms:W3CDTF">2024-11-26T14:54:29Z</dcterms:modified>
  <dc:title>长期照护服务驿站建设与管理规范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9B2AF14CCC324AB9A56764C6A57DC7E9_13</vt:lpwstr>
  </property>
</Properties>
</file>