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9ED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cs="黑体"/>
          <w:sz w:val="36"/>
          <w:szCs w:val="36"/>
        </w:rPr>
      </w:pPr>
      <w:bookmarkStart w:id="0" w:name="_Toc31250"/>
      <w:bookmarkStart w:id="1" w:name="_Toc89083367"/>
      <w:bookmarkStart w:id="2" w:name="_Toc14443"/>
      <w:r>
        <w:rPr>
          <w:rFonts w:hint="eastAsia" w:cs="黑体"/>
          <w:sz w:val="36"/>
          <w:szCs w:val="36"/>
        </w:rPr>
        <w:t>《老年人失能失智预防干预服务规范》</w:t>
      </w:r>
      <w:bookmarkStart w:id="34" w:name="_GoBack"/>
      <w:bookmarkEnd w:id="34"/>
      <w:r>
        <w:rPr>
          <w:rFonts w:hint="eastAsia" w:cs="黑体"/>
          <w:sz w:val="36"/>
          <w:szCs w:val="36"/>
        </w:rPr>
        <w:t>编制说明</w:t>
      </w:r>
    </w:p>
    <w:p w14:paraId="1EF9AD1A">
      <w:pPr>
        <w:pStyle w:val="10"/>
      </w:pPr>
    </w:p>
    <w:p w14:paraId="7A22810D">
      <w:pPr>
        <w:pStyle w:val="10"/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一、目的意义</w:t>
      </w:r>
    </w:p>
    <w:p w14:paraId="310E9BD9">
      <w:pPr>
        <w:pStyle w:val="11"/>
        <w:rPr>
          <w:rFonts w:hint="default" w:ascii="仿宋" w:hAnsi="仿宋" w:eastAsia="仿宋" w:cs="仿宋"/>
          <w:lang w:val="en-US" w:eastAsia="zh-CN"/>
        </w:rPr>
      </w:pPr>
      <w:bookmarkStart w:id="3" w:name="_Toc3922"/>
      <w:bookmarkStart w:id="4" w:name="_Toc89083375"/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hint="eastAsia" w:ascii="仿宋" w:hAnsi="仿宋" w:eastAsia="仿宋" w:cs="仿宋"/>
          <w:lang w:eastAsia="zh-CN"/>
        </w:rPr>
        <w:t>）标准编制</w:t>
      </w:r>
      <w:r>
        <w:rPr>
          <w:rFonts w:hint="eastAsia" w:ascii="仿宋" w:hAnsi="仿宋" w:eastAsia="仿宋" w:cs="仿宋"/>
          <w:lang w:val="en-US" w:eastAsia="zh-CN"/>
        </w:rPr>
        <w:t>的必要性</w:t>
      </w:r>
    </w:p>
    <w:p w14:paraId="3F9B52B1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1.项目实施是落实积极应对人口老龄化的重要举措</w:t>
      </w:r>
    </w:p>
    <w:p w14:paraId="5E54E0BD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我国是世界上老年人口最多的国家。南通是全国、全省最早进入人口老龄化的地级市。截至2022年底，我市60岁及以上老年人口239.68万人，占总人口的30.95%；65岁及以上人口190.69万人，占总人口的24.63%，已经进入深度老龄化。我国老年人整体健康状况不容乐观，近1.8亿老年人患有慢性病，患有一种及以上慢性病的比例高达75%。失能、部分失能老年人约4000万。目前，我市正在享受长期照护保险待遇的失能失智老年人约4万人。失能失智老年人自身的痛苦及其照护问题给个人、家庭和社会造成沉重的负担，开展老年人失能失智预防干预项目，对于做好失能失智老年人管理，让老年人“少失能，晚失能”具有重要意义。</w:t>
      </w:r>
    </w:p>
    <w:p w14:paraId="4432FE61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2.项目实施是构建老年预防保健体系的重要内容</w:t>
      </w:r>
    </w:p>
    <w:p w14:paraId="3CB96279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现代医学已经证明，早预防、早发现、早干预是行之有效的方式。预防是最经济最有效的健康策略，根据国家、省级部署要求，南通正以维护老年人健康权益为中心，以满足老年人多层次、多样化的健康服务需求为导向，积极构建老年健康危险因素干预、疾病早发现早诊断早治疗、失能预防三级预防体系，打造“预防、治疗、照护”三位一体的服务模式，为老年人提供全方位、全流程的健康服务。加强老年失能预防核心信息宣传，开展老年能力综合评估服务，早期识别失能高危人群，对其开展干预预防，降低老年人失能发生率。</w:t>
      </w:r>
    </w:p>
    <w:p w14:paraId="013723EA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3.项目实施是把优质医疗卫生服务送到群众“家门口”的重要体现</w:t>
      </w:r>
    </w:p>
    <w:p w14:paraId="31541C98">
      <w:pPr>
        <w:pStyle w:val="1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“大健康”理念以及“医防融合”的背景下，从政府层面，一分预防胜似十二分治疗，通过实施老年人失能失智预防干预项目，可以提高全市健康预期寿命，减少大量的医疗开支，节约卫生资源，切实减轻地方医保负担。从机构层面，是医疗机构从以治病为中心转变以人民健康为中心的具体环节，是履行公益性的内在要求，通过关口前移，加快构建集预防、治疗、康复、管理于一体的高质量服务体系。从公众层面，“一人失能，全家失衡”成了不少家庭面临的难题。失能老人的养老照护给整个家庭带来沉重负担。老有所为、老有所乐，是当代老年人的追求和期盼。通过对老年人实施失能失智干预，有利于延缓老年人失能失智趋势，降低家庭与社会负担，提高家庭幸福感。</w:t>
      </w:r>
      <w:bookmarkEnd w:id="3"/>
      <w:bookmarkEnd w:id="4"/>
    </w:p>
    <w:p w14:paraId="6890AF94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（二）标准编制的可行性</w:t>
      </w:r>
    </w:p>
    <w:p w14:paraId="37C71EA1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1.项目内容的科学性</w:t>
      </w:r>
    </w:p>
    <w:p w14:paraId="42A600B1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项目内容主要由筛查评估和预防干预两个方面，筛查评估有一般资料调查表（社会人口学信息、失能失智风险因素、慢性病患病情况、健康素养等），失能失智风险测评（《老年人失能风险评估量表》《简易精神状态评价量表（MMSE）》），以及老年人身体机能测试（握力、两步走、后背牵手、30秒坐起、站姿体前屈、单脚站立6个部分），预防干预包含运动器官功能（跌倒、尿失禁等）的训练、口腔功能训练、营养管理、认知功能训练、忧郁症和闭门不出的预防干预、健康素养宣教等方面。相关内容均组织专家进行了研讨论证，具有科学性。</w:t>
      </w:r>
    </w:p>
    <w:p w14:paraId="7BC2DB3A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2.项目实施的标准性</w:t>
      </w:r>
    </w:p>
    <w:p w14:paraId="398B2F1B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干预预防课程采用数字化手段开发失能预防信息化平台，将48节课的内容录制成视频，作为范本演示，同时将每一堂干预课都全程录音录像上传至平台，可实时在线监督教学质量，保证了课程的规范性、统一性、同质化。</w:t>
      </w:r>
    </w:p>
    <w:p w14:paraId="1AA8FF5B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3.组织保障的可行性</w:t>
      </w:r>
    </w:p>
    <w:p w14:paraId="5A483D1F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为更为有序、高效地推动我市失能（失智）预防干预工作的开展，市卫健委联合下属多个部门、单位以及医疗机构成立的项目专办，推动项目的组织实施。南通卫生高职校组建专家组，负责项目内容、标准、规范的制定及质量控制。三级以上医疗机构负责评估团队的培训、干预初期的实施及基层医疗机构家庭医生的带教、干预后期的技术支持与督导。基层医疗机构负责综合干预期的全程实施及随访评估。</w:t>
      </w:r>
    </w:p>
    <w:p w14:paraId="13C7DF4E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（三）预期经济社会效益分析</w:t>
      </w:r>
    </w:p>
    <w:p w14:paraId="367B8E4A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1.老年人发生跌倒和尿失禁的几率显著减少</w:t>
      </w:r>
    </w:p>
    <w:p w14:paraId="11826A1F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经过运动器官功能的训练、口腔功能训练、营养管理、认知功能训练等方面的干预，在身体机能方面，参与干预的老年人握力、睁眼单脚站立时间和30秒坐姿起立个数均显著增加，老年人平衡和手、腿部力量向好，发生跌倒和尿失禁的几率显著减少。</w:t>
      </w:r>
    </w:p>
    <w:p w14:paraId="6E0D5EF2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2.老年人及家庭对政府的信任度显著提高</w:t>
      </w:r>
    </w:p>
    <w:p w14:paraId="7641B688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失能失智预防干预项目的实施，得到了街道、社区，特别是社区老年人的广泛认可和支持。老年人纷纷通过口头表达、感谢信等方式感谢政府部门、医疗机构开展此项工作，共收到感谢信近20封。</w:t>
      </w:r>
    </w:p>
    <w:p w14:paraId="33B86F99">
      <w:pPr>
        <w:pStyle w:val="11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3.预防干预可以减少医疗开支，切实减轻地方医保负担</w:t>
      </w:r>
    </w:p>
    <w:p w14:paraId="7BB3A60C">
      <w:pPr>
        <w:pStyle w:val="11"/>
        <w:ind w:left="0" w:leftChars="0" w:firstLine="64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通过综合干预，老年人的精神状态显著改善、身体机能得到提升，健康素养有了明显提高。国外多项研究强调了老年人口虚弱的经济相关性，随着虚弱的增加，医疗保健支出也在增加，综合干预能够成功减少残疾和功能衰退，节省了医疗保健系统的成本，并取得了可观的健康收益。以阿尔茨海默病（AD、常称老年痴呆）为例，一位AD患者的治疗和维持最基本生活费用，人均年度花费：痴呆患者医护成本为122,523元/人/年，其中直接医药费用占32.5%，由照护患者等带来的间接费用占比高达51.9%，经研究表明，AD虽然无法治愈，但AD前阶段给予积极干预，可延长患者有质量生存期3～5年，直接减少高额照护费用，具有良好的家庭和社会效益。以延长5年为例，减少了约60万元左右。</w:t>
      </w:r>
    </w:p>
    <w:p w14:paraId="6B727AFC">
      <w:pPr>
        <w:pStyle w:val="1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bookmarkEnd w:id="0"/>
      <w:bookmarkEnd w:id="1"/>
      <w:bookmarkEnd w:id="2"/>
      <w:r>
        <w:rPr>
          <w:rFonts w:hint="eastAsia"/>
          <w:lang w:val="en-US" w:eastAsia="zh-CN"/>
        </w:rPr>
        <w:t>任务来源</w:t>
      </w:r>
    </w:p>
    <w:p w14:paraId="48657A0F">
      <w:pPr>
        <w:pStyle w:val="11"/>
        <w:rPr>
          <w:rFonts w:ascii="仿宋" w:hAnsi="仿宋" w:eastAsia="仿宋" w:cs="仿宋"/>
        </w:rPr>
      </w:pPr>
      <w:bookmarkStart w:id="5" w:name="_Toc12795"/>
      <w:r>
        <w:rPr>
          <w:rFonts w:hint="eastAsia" w:ascii="仿宋" w:hAnsi="仿宋" w:eastAsia="仿宋" w:cs="仿宋"/>
        </w:rPr>
        <w:t>目前，我国失能失智老人约4500万。为从源头减少老年人失能失智发生，2021年4月国家卫生健康委在15个省（区、市）的15个干预县（市、区）实施老年人失能失智预防干预试点项目，旨在提高老年人健康素养和健康水平，预防或延缓失能失智的发生。为了进一步规范南通市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预防干预服务，提供统一、专业和可操作的服务标准，由南通市卫生健康委员会提出并归口本文件。项目名称为《老年人失能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》，2024年3月由江苏省南通卫生高等职业技术学校申请地方标准立项，2024年5月根据《南通市市场监督管理局关于下达2024年度第二批南通市地方标准项目计划的通知》（通市监函〔2024〕38号），批准《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预防干预服务规范》地方标准制定。</w:t>
      </w:r>
      <w:bookmarkEnd w:id="5"/>
      <w:bookmarkStart w:id="6" w:name="_Toc14896"/>
      <w:bookmarkStart w:id="7" w:name="_Toc89083372"/>
      <w:r>
        <w:rPr>
          <w:rFonts w:hint="eastAsia" w:ascii="仿宋" w:hAnsi="仿宋" w:eastAsia="仿宋" w:cs="仿宋"/>
        </w:rPr>
        <w:t>本文件起草单位</w:t>
      </w:r>
      <w:r>
        <w:rPr>
          <w:rFonts w:hint="eastAsia" w:ascii="仿宋" w:hAnsi="仿宋" w:eastAsia="仿宋" w:cs="仿宋"/>
          <w:lang w:val="en-US" w:eastAsia="zh-CN"/>
        </w:rPr>
        <w:t>有</w:t>
      </w:r>
      <w:r>
        <w:rPr>
          <w:rFonts w:hint="eastAsia" w:ascii="仿宋" w:hAnsi="仿宋" w:eastAsia="仿宋" w:cs="仿宋"/>
        </w:rPr>
        <w:t>江苏省南通卫生高等职业技术学校、南通市卫生健康委</w:t>
      </w:r>
      <w:r>
        <w:rPr>
          <w:rFonts w:hint="eastAsia" w:ascii="仿宋" w:hAnsi="仿宋" w:eastAsia="仿宋" w:cs="仿宋"/>
          <w:lang w:val="en-US" w:eastAsia="zh-CN"/>
        </w:rPr>
        <w:t>和</w:t>
      </w:r>
      <w:r>
        <w:rPr>
          <w:rFonts w:hint="eastAsia" w:ascii="仿宋" w:hAnsi="仿宋" w:eastAsia="仿宋" w:cs="仿宋"/>
        </w:rPr>
        <w:t>南通大学公共卫生学院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。</w:t>
      </w:r>
    </w:p>
    <w:bookmarkEnd w:id="6"/>
    <w:bookmarkEnd w:id="7"/>
    <w:p w14:paraId="03A480D6">
      <w:pPr>
        <w:pStyle w:val="10"/>
        <w:rPr>
          <w:rFonts w:hint="default" w:eastAsia="黑体"/>
          <w:lang w:val="en-US" w:eastAsia="zh-CN"/>
        </w:rPr>
      </w:pPr>
      <w:bookmarkStart w:id="8" w:name="_Toc89083373"/>
      <w:bookmarkStart w:id="9" w:name="_Toc22949"/>
      <w:bookmarkStart w:id="10" w:name="_Toc26822"/>
      <w:r>
        <w:rPr>
          <w:rFonts w:hint="eastAsia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编制过程</w:t>
      </w:r>
    </w:p>
    <w:p w14:paraId="76286621">
      <w:pPr>
        <w:adjustRightInd w:val="0"/>
        <w:snapToGrid w:val="0"/>
        <w:spacing w:line="44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1.标准起草计划（</w:t>
      </w:r>
      <w:r>
        <w:rPr>
          <w:rFonts w:ascii="仿宋" w:hAnsi="仿宋" w:eastAsia="仿宋" w:cs="仿宋"/>
          <w:sz w:val="32"/>
          <w:szCs w:val="32"/>
        </w:rPr>
        <w:t>(20</w:t>
      </w:r>
      <w:r>
        <w:rPr>
          <w:rFonts w:hint="eastAsia" w:ascii="仿宋" w:hAnsi="仿宋" w:eastAsia="仿宋" w:cs="仿宋"/>
          <w:sz w:val="32"/>
          <w:szCs w:val="32"/>
        </w:rPr>
        <w:t>24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6月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06E2F8DA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获得地方标准立项后，成立标准编制起草组，负责标准草案的起草。充分调查研究，广泛收集资料，协调标准各相关方意见。</w:t>
      </w:r>
      <w:r>
        <w:rPr>
          <w:rFonts w:ascii="仿宋" w:hAnsi="仿宋" w:eastAsia="仿宋" w:cs="仿宋"/>
        </w:rPr>
        <w:t>实地调研</w:t>
      </w:r>
      <w:r>
        <w:rPr>
          <w:rFonts w:hint="eastAsia" w:ascii="仿宋" w:hAnsi="仿宋" w:eastAsia="仿宋" w:cs="仿宋"/>
        </w:rPr>
        <w:t>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</w:t>
      </w:r>
      <w:r>
        <w:rPr>
          <w:rFonts w:ascii="仿宋" w:hAnsi="仿宋" w:eastAsia="仿宋" w:cs="仿宋"/>
        </w:rPr>
        <w:t>现状，通过走访、问卷、体验等形式，摸清我</w:t>
      </w:r>
      <w:r>
        <w:rPr>
          <w:rFonts w:hint="eastAsia" w:ascii="仿宋" w:hAnsi="仿宋" w:eastAsia="仿宋" w:cs="仿宋"/>
        </w:rPr>
        <w:t>市老年人失能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</w:t>
      </w:r>
      <w:r>
        <w:rPr>
          <w:rFonts w:ascii="仿宋" w:hAnsi="仿宋" w:eastAsia="仿宋" w:cs="仿宋"/>
        </w:rPr>
        <w:t>的需求</w:t>
      </w:r>
      <w:r>
        <w:rPr>
          <w:rFonts w:hint="eastAsia" w:ascii="仿宋" w:hAnsi="仿宋" w:eastAsia="仿宋" w:cs="仿宋"/>
        </w:rPr>
        <w:t>和</w:t>
      </w:r>
      <w:r>
        <w:rPr>
          <w:rFonts w:ascii="仿宋" w:hAnsi="仿宋" w:eastAsia="仿宋" w:cs="仿宋"/>
        </w:rPr>
        <w:t>要素，确定完善标准草案切入点</w:t>
      </w:r>
      <w:r>
        <w:rPr>
          <w:rFonts w:hint="eastAsia" w:ascii="仿宋" w:hAnsi="仿宋" w:eastAsia="仿宋" w:cs="仿宋"/>
        </w:rPr>
        <w:t>，制定标准起草计划</w:t>
      </w:r>
      <w:r>
        <w:rPr>
          <w:rFonts w:ascii="仿宋" w:hAnsi="仿宋" w:eastAsia="仿宋" w:cs="仿宋"/>
        </w:rPr>
        <w:t>。</w:t>
      </w:r>
    </w:p>
    <w:p w14:paraId="4C717639">
      <w:pPr>
        <w:adjustRightInd w:val="0"/>
        <w:snapToGrid w:val="0"/>
        <w:spacing w:line="44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标准草案起草</w:t>
      </w:r>
      <w:r>
        <w:rPr>
          <w:rFonts w:hint="eastAsia" w:ascii="仿宋" w:hAnsi="仿宋" w:eastAsia="仿宋" w:cs="仿宋"/>
          <w:sz w:val="32"/>
          <w:szCs w:val="32"/>
        </w:rPr>
        <w:t>（2024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7月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37D136EF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搜集整理中央、各省部委出台的有关政策文件和相关国家、行业、地方标准等技术资料，以及现阶段老年人失能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预防干预服务的做法。在对调研材料进行分析整理的基础上，完成</w:t>
      </w:r>
      <w:r>
        <w:rPr>
          <w:rFonts w:ascii="仿宋" w:hAnsi="仿宋" w:eastAsia="仿宋" w:cs="仿宋"/>
        </w:rPr>
        <w:t>《</w:t>
      </w:r>
      <w:r>
        <w:rPr>
          <w:rFonts w:hint="eastAsia" w:ascii="仿宋" w:hAnsi="仿宋" w:eastAsia="仿宋" w:cs="仿宋"/>
        </w:rPr>
        <w:t>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</w:t>
      </w:r>
      <w:r>
        <w:rPr>
          <w:rFonts w:ascii="仿宋" w:hAnsi="仿宋" w:eastAsia="仿宋" w:cs="仿宋"/>
        </w:rPr>
        <w:t>》</w:t>
      </w:r>
      <w:r>
        <w:rPr>
          <w:rFonts w:hint="eastAsia" w:ascii="仿宋" w:hAnsi="仿宋" w:eastAsia="仿宋" w:cs="仿宋"/>
        </w:rPr>
        <w:t>初稿撰写。组织</w:t>
      </w:r>
      <w:r>
        <w:rPr>
          <w:rFonts w:ascii="仿宋" w:hAnsi="仿宋" w:eastAsia="仿宋" w:cs="仿宋"/>
        </w:rPr>
        <w:t>召开</w:t>
      </w:r>
      <w:r>
        <w:rPr>
          <w:rFonts w:hint="eastAsia" w:ascii="仿宋" w:hAnsi="仿宋" w:eastAsia="仿宋" w:cs="仿宋"/>
        </w:rPr>
        <w:t>专家</w:t>
      </w:r>
      <w:r>
        <w:rPr>
          <w:rFonts w:ascii="仿宋" w:hAnsi="仿宋" w:eastAsia="仿宋" w:cs="仿宋"/>
        </w:rPr>
        <w:t>研讨会，对标准的结构框架</w:t>
      </w:r>
      <w:r>
        <w:rPr>
          <w:rFonts w:hint="eastAsia" w:ascii="仿宋" w:hAnsi="仿宋" w:eastAsia="仿宋" w:cs="仿宋"/>
        </w:rPr>
        <w:t>及内容</w:t>
      </w:r>
      <w:r>
        <w:rPr>
          <w:rFonts w:ascii="仿宋" w:hAnsi="仿宋" w:eastAsia="仿宋" w:cs="仿宋"/>
        </w:rPr>
        <w:t>进行研究探讨和修改</w:t>
      </w:r>
      <w:r>
        <w:rPr>
          <w:rFonts w:hint="eastAsia" w:ascii="仿宋" w:hAnsi="仿宋" w:eastAsia="仿宋" w:cs="仿宋"/>
        </w:rPr>
        <w:t>，</w:t>
      </w:r>
      <w:r>
        <w:rPr>
          <w:rFonts w:ascii="仿宋" w:hAnsi="仿宋" w:eastAsia="仿宋" w:cs="仿宋"/>
        </w:rPr>
        <w:t>形成《</w:t>
      </w:r>
      <w:r>
        <w:rPr>
          <w:rFonts w:hint="eastAsia" w:ascii="仿宋" w:hAnsi="仿宋" w:eastAsia="仿宋" w:cs="仿宋"/>
        </w:rPr>
        <w:t>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</w:t>
      </w:r>
      <w:r>
        <w:rPr>
          <w:rFonts w:ascii="仿宋" w:hAnsi="仿宋" w:eastAsia="仿宋" w:cs="仿宋"/>
        </w:rPr>
        <w:t>》</w:t>
      </w:r>
      <w:r>
        <w:rPr>
          <w:rFonts w:hint="eastAsia" w:ascii="仿宋" w:hAnsi="仿宋" w:eastAsia="仿宋" w:cs="仿宋"/>
        </w:rPr>
        <w:t>地方标准</w:t>
      </w:r>
      <w:r>
        <w:rPr>
          <w:rFonts w:ascii="仿宋" w:hAnsi="仿宋" w:eastAsia="仿宋" w:cs="仿宋"/>
        </w:rPr>
        <w:t>征求意见稿</w:t>
      </w:r>
      <w:r>
        <w:rPr>
          <w:rFonts w:hint="eastAsia" w:ascii="仿宋" w:hAnsi="仿宋" w:eastAsia="仿宋" w:cs="仿宋"/>
        </w:rPr>
        <w:t>和编制说明</w:t>
      </w:r>
      <w:r>
        <w:rPr>
          <w:rFonts w:ascii="仿宋" w:hAnsi="仿宋" w:eastAsia="仿宋" w:cs="仿宋"/>
        </w:rPr>
        <w:t>。</w:t>
      </w:r>
    </w:p>
    <w:p w14:paraId="70353A93">
      <w:pPr>
        <w:adjustRightInd w:val="0"/>
        <w:snapToGrid w:val="0"/>
        <w:spacing w:line="44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TW"/>
        </w:rPr>
        <w:t>标准</w:t>
      </w:r>
      <w:r>
        <w:rPr>
          <w:rFonts w:ascii="仿宋" w:hAnsi="仿宋" w:eastAsia="仿宋" w:cs="仿宋"/>
          <w:sz w:val="32"/>
          <w:szCs w:val="32"/>
        </w:rPr>
        <w:t>征求意见（202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10月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ascii="仿宋" w:hAnsi="仿宋" w:eastAsia="仿宋" w:cs="仿宋"/>
          <w:sz w:val="32"/>
          <w:szCs w:val="32"/>
        </w:rPr>
        <w:t>月）</w:t>
      </w:r>
    </w:p>
    <w:p w14:paraId="45150BBE">
      <w:pPr>
        <w:pStyle w:val="11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启动征求意见程序，多渠道、多方位、多层次</w:t>
      </w:r>
      <w:r>
        <w:rPr>
          <w:rFonts w:hint="eastAsia" w:ascii="仿宋" w:hAnsi="仿宋" w:eastAsia="仿宋" w:cs="仿宋"/>
        </w:rPr>
        <w:t>公开</w:t>
      </w:r>
      <w:r>
        <w:rPr>
          <w:rFonts w:ascii="仿宋" w:hAnsi="仿宋" w:eastAsia="仿宋" w:cs="仿宋"/>
        </w:rPr>
        <w:t>征求相关行政主管部门、科研院所、高校、企业、服务对象等相关方意见</w:t>
      </w:r>
      <w:r>
        <w:rPr>
          <w:rFonts w:hint="eastAsia" w:ascii="仿宋" w:hAnsi="仿宋" w:eastAsia="仿宋" w:cs="仿宋"/>
        </w:rPr>
        <w:t>。</w:t>
      </w:r>
    </w:p>
    <w:p w14:paraId="5370590E">
      <w:pPr>
        <w:adjustRightInd w:val="0"/>
        <w:snapToGrid w:val="0"/>
        <w:spacing w:line="44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ascii="仿宋" w:hAnsi="仿宋" w:eastAsia="仿宋" w:cs="仿宋"/>
          <w:sz w:val="32"/>
          <w:szCs w:val="32"/>
        </w:rPr>
        <w:t>标准</w:t>
      </w:r>
      <w:r>
        <w:rPr>
          <w:rFonts w:hint="eastAsia" w:ascii="仿宋" w:hAnsi="仿宋" w:eastAsia="仿宋" w:cs="仿宋"/>
          <w:sz w:val="32"/>
          <w:szCs w:val="32"/>
        </w:rPr>
        <w:t>论证及送审</w:t>
      </w:r>
      <w:r>
        <w:rPr>
          <w:rFonts w:ascii="仿宋" w:hAnsi="仿宋" w:eastAsia="仿宋" w:cs="仿宋"/>
          <w:sz w:val="32"/>
          <w:szCs w:val="32"/>
        </w:rPr>
        <w:t>审定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12月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2025年3</w:t>
      </w:r>
      <w:r>
        <w:rPr>
          <w:rFonts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815508B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充分分析论证各相关方意见，对标准文本</w:t>
      </w:r>
      <w:r>
        <w:rPr>
          <w:rFonts w:ascii="仿宋" w:hAnsi="仿宋" w:eastAsia="仿宋" w:cs="仿宋"/>
        </w:rPr>
        <w:t>不断完善</w:t>
      </w:r>
      <w:r>
        <w:rPr>
          <w:rFonts w:hint="eastAsia" w:ascii="仿宋" w:hAnsi="仿宋" w:eastAsia="仿宋" w:cs="仿宋"/>
        </w:rPr>
        <w:t>。对</w:t>
      </w:r>
      <w:r>
        <w:rPr>
          <w:rFonts w:ascii="仿宋" w:hAnsi="仿宋" w:eastAsia="仿宋" w:cs="仿宋"/>
        </w:rPr>
        <w:t>未采纳或部分采纳的意见说明理由并予以反馈</w:t>
      </w:r>
      <w:r>
        <w:rPr>
          <w:rFonts w:hint="eastAsia" w:ascii="仿宋" w:hAnsi="仿宋" w:eastAsia="仿宋" w:cs="仿宋"/>
        </w:rPr>
        <w:t>，完成征求意见的处理汇总，形成地方标准送审材料，经推荐单位（归口单位）南通市卫生健康委同意，提出地方标准审查申请，</w:t>
      </w:r>
      <w:r>
        <w:rPr>
          <w:rFonts w:ascii="仿宋" w:hAnsi="仿宋" w:eastAsia="仿宋" w:cs="仿宋"/>
        </w:rPr>
        <w:t>按照相关要求</w:t>
      </w:r>
      <w:r>
        <w:rPr>
          <w:rFonts w:hint="eastAsia" w:ascii="仿宋" w:hAnsi="仿宋" w:eastAsia="仿宋" w:cs="仿宋"/>
        </w:rPr>
        <w:t>申请</w:t>
      </w:r>
      <w:r>
        <w:rPr>
          <w:rFonts w:ascii="仿宋" w:hAnsi="仿宋" w:eastAsia="仿宋" w:cs="仿宋"/>
        </w:rPr>
        <w:t>标准化审定工作。</w:t>
      </w:r>
    </w:p>
    <w:p w14:paraId="04BFB1E7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起草小组全体人员对征求的各位专家的意见进行汇总、分析、修改，完成送审稿。</w:t>
      </w:r>
    </w:p>
    <w:bookmarkEnd w:id="8"/>
    <w:bookmarkEnd w:id="9"/>
    <w:bookmarkEnd w:id="10"/>
    <w:p w14:paraId="2DC58BD8">
      <w:pPr>
        <w:pStyle w:val="10"/>
        <w:rPr>
          <w:lang w:val="zh-TW" w:eastAsia="zh-TW"/>
        </w:rPr>
      </w:pPr>
      <w:bookmarkStart w:id="11" w:name="_Toc4745"/>
      <w:bookmarkStart w:id="12" w:name="_Toc26139"/>
      <w:bookmarkStart w:id="13" w:name="_Toc89083377"/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bookmarkEnd w:id="11"/>
      <w:bookmarkEnd w:id="12"/>
      <w:bookmarkEnd w:id="13"/>
      <w:r>
        <w:rPr>
          <w:rFonts w:hint="eastAsia"/>
          <w:lang w:val="zh-TW" w:eastAsia="zh-TW"/>
        </w:rPr>
        <w:t>标准编制原则和地方标准主要内容的确定依据</w:t>
      </w:r>
    </w:p>
    <w:p w14:paraId="0E92B344">
      <w:pPr>
        <w:pStyle w:val="11"/>
      </w:pPr>
      <w:bookmarkStart w:id="14" w:name="_Toc89083378"/>
      <w:bookmarkStart w:id="15" w:name="_Toc26980"/>
      <w:r>
        <w:rPr>
          <w:rFonts w:hint="eastAsia"/>
        </w:rPr>
        <w:t>（一）制定原则</w:t>
      </w:r>
      <w:bookmarkEnd w:id="14"/>
      <w:bookmarkEnd w:id="15"/>
    </w:p>
    <w:p w14:paraId="2CF3EA5B">
      <w:pPr>
        <w:pStyle w:val="11"/>
        <w:rPr>
          <w:rFonts w:ascii="仿宋" w:hAnsi="仿宋" w:eastAsia="仿宋" w:cs="仿宋"/>
        </w:rPr>
      </w:pPr>
      <w:bookmarkStart w:id="16" w:name="_Toc25760"/>
      <w:bookmarkStart w:id="17" w:name="_Toc89083379"/>
      <w:r>
        <w:rPr>
          <w:rFonts w:hint="eastAsia" w:ascii="仿宋" w:hAnsi="仿宋" w:eastAsia="仿宋" w:cs="仿宋"/>
        </w:rPr>
        <w:t>本文件按照GB/T 1.1—2020《标准化工作导则  第1部分：标准化文件的结构和起草规则》的规定编写。</w:t>
      </w:r>
    </w:p>
    <w:p w14:paraId="247276CF">
      <w:pPr>
        <w:pStyle w:val="11"/>
      </w:pPr>
      <w:r>
        <w:rPr>
          <w:rFonts w:hint="eastAsia"/>
        </w:rPr>
        <w:t>（二）制定依据</w:t>
      </w:r>
      <w:bookmarkEnd w:id="16"/>
      <w:bookmarkEnd w:id="17"/>
    </w:p>
    <w:p w14:paraId="56449D31">
      <w:pPr>
        <w:pStyle w:val="11"/>
        <w:rPr>
          <w:rFonts w:ascii="仿宋" w:hAnsi="仿宋" w:eastAsia="仿宋" w:cs="仿宋"/>
        </w:rPr>
      </w:pPr>
      <w:bookmarkStart w:id="18" w:name="_Toc89083381"/>
      <w:bookmarkStart w:id="19" w:name="_Toc27445"/>
      <w:bookmarkStart w:id="20" w:name="_Toc31321"/>
      <w:r>
        <w:rPr>
          <w:rFonts w:hint="eastAsia" w:ascii="仿宋" w:hAnsi="仿宋" w:eastAsia="仿宋" w:cs="仿宋"/>
        </w:rPr>
        <w:t>1.查阅资料</w:t>
      </w:r>
    </w:p>
    <w:p w14:paraId="214F5145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标准起草小组查阅了《中华人民共和国标准化法》《国家标准管理办法》《江苏省标准监督管理办法》《团体标准管理规定》。</w:t>
      </w:r>
    </w:p>
    <w:p w14:paraId="7AED9031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2.实地调研</w:t>
      </w:r>
    </w:p>
    <w:p w14:paraId="06C196A0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主要对我市街道社区、医疗机构、养老行业协会、养老机构等进行走访调研，了解目前老年人失能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预防干预服务的实际需要。</w:t>
      </w:r>
    </w:p>
    <w:p w14:paraId="4BBC1E1D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3.试验论证</w:t>
      </w:r>
    </w:p>
    <w:p w14:paraId="0ADC1BE6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在查阅资料以及实地调研的基础上，标准起草小组工作人员进行开会讨论，确定文件按照的范围、规范性引用文件等章节编制。</w:t>
      </w:r>
    </w:p>
    <w:p w14:paraId="221F6AF1">
      <w:pPr>
        <w:pStyle w:val="10"/>
        <w:rPr>
          <w:rFonts w:hint="eastAsia" w:eastAsia="黑体"/>
          <w:lang w:val="zh-TW" w:eastAsia="zh-CN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zh-TW" w:eastAsia="zh-TW"/>
        </w:rPr>
        <w:t>重大意见分歧的处理</w:t>
      </w:r>
      <w:r>
        <w:rPr>
          <w:rFonts w:hint="eastAsia"/>
          <w:lang w:val="en-US" w:eastAsia="zh-CN"/>
        </w:rPr>
        <w:t>依据</w:t>
      </w:r>
      <w:r>
        <w:rPr>
          <w:rFonts w:hint="eastAsia"/>
          <w:lang w:val="zh-TW" w:eastAsia="zh-TW"/>
        </w:rPr>
        <w:t>和</w:t>
      </w:r>
      <w:r>
        <w:rPr>
          <w:rFonts w:hint="eastAsia"/>
          <w:lang w:val="en-US" w:eastAsia="zh-CN"/>
        </w:rPr>
        <w:t>结果</w:t>
      </w:r>
    </w:p>
    <w:p w14:paraId="22BD1B04">
      <w:pPr>
        <w:pStyle w:val="11"/>
        <w:rPr>
          <w:rFonts w:hint="eastAsia" w:eastAsia="黑体"/>
          <w:lang w:eastAsia="zh-CN"/>
        </w:rPr>
      </w:pPr>
      <w:r>
        <w:rPr>
          <w:rFonts w:hint="eastAsia" w:ascii="仿宋" w:hAnsi="仿宋" w:eastAsia="仿宋" w:cs="仿宋"/>
        </w:rPr>
        <w:t>制定过程中无重大意见分歧。</w:t>
      </w:r>
    </w:p>
    <w:bookmarkEnd w:id="18"/>
    <w:bookmarkEnd w:id="19"/>
    <w:bookmarkEnd w:id="20"/>
    <w:p w14:paraId="730DAF3D">
      <w:pPr>
        <w:pStyle w:val="10"/>
        <w:rPr>
          <w:lang w:val="zh-TW" w:eastAsia="zh-TW"/>
        </w:rPr>
      </w:pPr>
      <w:bookmarkStart w:id="21" w:name="_Toc89083386"/>
      <w:bookmarkStart w:id="22" w:name="_Toc5080"/>
      <w:bookmarkStart w:id="23" w:name="_Toc30868"/>
      <w:r>
        <w:rPr>
          <w:rFonts w:hint="eastAsia"/>
        </w:rPr>
        <w:t>六、与</w:t>
      </w:r>
      <w:r>
        <w:rPr>
          <w:rFonts w:hint="eastAsia"/>
          <w:lang w:val="en-US" w:eastAsia="zh-CN"/>
        </w:rPr>
        <w:t>相</w:t>
      </w:r>
      <w:r>
        <w:rPr>
          <w:rFonts w:hint="eastAsia"/>
        </w:rPr>
        <w:t>关法律法规和标准的关系</w:t>
      </w:r>
    </w:p>
    <w:p w14:paraId="266B644D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本文件所有条款均符合《中华人民共和国标准化法</w:t>
      </w:r>
      <w:r>
        <w:rPr>
          <w:rFonts w:hint="eastAsia" w:ascii="仿宋" w:hAnsi="仿宋" w:eastAsia="仿宋" w:cs="仿宋"/>
          <w:lang w:eastAsia="zh-CN"/>
        </w:rPr>
        <w:t>》《</w:t>
      </w:r>
      <w:r>
        <w:rPr>
          <w:rFonts w:hint="eastAsia" w:ascii="仿宋" w:hAnsi="仿宋" w:eastAsia="仿宋" w:cs="仿宋"/>
        </w:rPr>
        <w:t>国家标准管理办法</w:t>
      </w:r>
      <w:r>
        <w:rPr>
          <w:rFonts w:hint="eastAsia" w:ascii="仿宋" w:hAnsi="仿宋" w:eastAsia="仿宋" w:cs="仿宋"/>
          <w:lang w:eastAsia="zh-CN"/>
        </w:rPr>
        <w:t>》《</w:t>
      </w:r>
      <w:r>
        <w:rPr>
          <w:rFonts w:hint="eastAsia" w:ascii="仿宋" w:hAnsi="仿宋" w:eastAsia="仿宋" w:cs="仿宋"/>
        </w:rPr>
        <w:t>江苏省标准监督管理办法</w:t>
      </w:r>
      <w:r>
        <w:rPr>
          <w:rFonts w:hint="eastAsia" w:ascii="仿宋" w:hAnsi="仿宋" w:eastAsia="仿宋" w:cs="仿宋"/>
          <w:lang w:eastAsia="zh-CN"/>
        </w:rPr>
        <w:t>》《</w:t>
      </w:r>
      <w:r>
        <w:rPr>
          <w:rFonts w:hint="eastAsia" w:ascii="仿宋" w:hAnsi="仿宋" w:eastAsia="仿宋" w:cs="仿宋"/>
        </w:rPr>
        <w:t>团体标准管理规定》等相关法律法规。本标准内容与国家</w:t>
      </w:r>
      <w:r>
        <w:rPr>
          <w:rFonts w:hint="eastAsia" w:ascii="仿宋" w:hAnsi="仿宋" w:eastAsia="仿宋" w:cs="仿宋"/>
          <w:lang w:eastAsia="zh-CN"/>
        </w:rPr>
        <w:t>法律法规</w:t>
      </w:r>
      <w:r>
        <w:rPr>
          <w:rFonts w:hint="eastAsia" w:ascii="仿宋" w:hAnsi="仿宋" w:eastAsia="仿宋" w:cs="仿宋"/>
        </w:rPr>
        <w:t>和行业标准及卫生系统相关规定未见有冲突之处。</w:t>
      </w:r>
    </w:p>
    <w:bookmarkEnd w:id="21"/>
    <w:bookmarkEnd w:id="22"/>
    <w:bookmarkEnd w:id="23"/>
    <w:p w14:paraId="4F4E60AF">
      <w:pPr>
        <w:pStyle w:val="10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实施推广</w:t>
      </w:r>
      <w:r>
        <w:rPr>
          <w:rFonts w:hint="eastAsia"/>
        </w:rPr>
        <w:t>建议</w:t>
      </w:r>
    </w:p>
    <w:p w14:paraId="45BA38EC">
      <w:pPr>
        <w:pStyle w:val="11"/>
        <w:rPr>
          <w:rFonts w:ascii="仿宋" w:hAnsi="仿宋" w:eastAsia="仿宋" w:cs="仿宋"/>
        </w:rPr>
      </w:pPr>
      <w:bookmarkStart w:id="24" w:name="_Toc89083389"/>
      <w:bookmarkStart w:id="25" w:name="_Toc15413"/>
      <w:r>
        <w:rPr>
          <w:rFonts w:hint="eastAsia" w:ascii="仿宋" w:hAnsi="仿宋" w:eastAsia="仿宋" w:cs="仿宋"/>
        </w:rPr>
        <w:t>《老年人失能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预防干预服务规范》从街道社区、医疗机构、养老行业协会、养老机构</w:t>
      </w:r>
      <w:r>
        <w:rPr>
          <w:rFonts w:hint="eastAsia" w:ascii="仿宋" w:hAnsi="仿宋" w:eastAsia="仿宋" w:cs="仿宋"/>
          <w:lang w:val="en-US" w:eastAsia="zh-CN"/>
        </w:rPr>
        <w:t>实际</w:t>
      </w:r>
      <w:r>
        <w:rPr>
          <w:rFonts w:hint="eastAsia" w:ascii="仿宋" w:hAnsi="仿宋" w:eastAsia="仿宋" w:cs="仿宋"/>
        </w:rPr>
        <w:t>需要出发，详细列出了老年人失能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预防干预服务的服务原则、服务对象、服务要求、服务流程、服务评价、服务反馈与改进等，既符合南通实际，又能够在全市范围内推广实施，能有效</w:t>
      </w:r>
      <w:r>
        <w:rPr>
          <w:rFonts w:ascii="仿宋" w:hAnsi="仿宋" w:eastAsia="仿宋" w:cs="仿宋"/>
        </w:rPr>
        <w:t>提高</w:t>
      </w:r>
      <w:r>
        <w:rPr>
          <w:rFonts w:hint="eastAsia" w:ascii="仿宋" w:hAnsi="仿宋" w:eastAsia="仿宋" w:cs="仿宋"/>
        </w:rPr>
        <w:t>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预防干预服务规范性</w:t>
      </w:r>
      <w:r>
        <w:rPr>
          <w:rFonts w:ascii="仿宋" w:hAnsi="仿宋" w:eastAsia="仿宋" w:cs="仿宋"/>
        </w:rPr>
        <w:t>，为</w:t>
      </w:r>
      <w:r>
        <w:rPr>
          <w:rFonts w:hint="eastAsia" w:ascii="仿宋" w:hAnsi="仿宋" w:eastAsia="仿宋" w:cs="仿宋"/>
        </w:rPr>
        <w:t>南通市</w:t>
      </w:r>
      <w:r>
        <w:rPr>
          <w:rFonts w:ascii="仿宋" w:hAnsi="仿宋" w:eastAsia="仿宋" w:cs="仿宋"/>
        </w:rPr>
        <w:t>的健康</w:t>
      </w:r>
      <w:r>
        <w:rPr>
          <w:rFonts w:hint="eastAsia" w:ascii="仿宋" w:hAnsi="仿宋" w:eastAsia="仿宋" w:cs="仿宋"/>
        </w:rPr>
        <w:t>老龄化</w:t>
      </w:r>
      <w:r>
        <w:rPr>
          <w:rFonts w:ascii="仿宋" w:hAnsi="仿宋" w:eastAsia="仿宋" w:cs="仿宋"/>
        </w:rPr>
        <w:t>发展提供有力保障</w:t>
      </w:r>
      <w:r>
        <w:rPr>
          <w:rFonts w:hint="eastAsia" w:ascii="仿宋" w:hAnsi="仿宋" w:eastAsia="仿宋" w:cs="仿宋"/>
        </w:rPr>
        <w:t>，发挥标准化工作对提升养老服务产业质量的促进作用。</w:t>
      </w:r>
    </w:p>
    <w:p w14:paraId="3BAEB227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《老年人失能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》正式发布实施后，起草单位将充分利用会议、论坛、新媒体等多种形式，开展标准宣传、解读、培训等工作，让更多的街道社区、医疗机构、养老行业协会、养老机构等从业者了解地方标准，不断提高行业内对地方标准的认知，促进地方标准的推广和实施。</w:t>
      </w:r>
    </w:p>
    <w:bookmarkEnd w:id="24"/>
    <w:bookmarkEnd w:id="25"/>
    <w:p w14:paraId="5567B541">
      <w:pPr>
        <w:pStyle w:val="10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适用范围和主要条款说明</w:t>
      </w:r>
    </w:p>
    <w:p w14:paraId="5115B789">
      <w:pPr>
        <w:pStyle w:val="11"/>
      </w:pPr>
      <w:bookmarkStart w:id="26" w:name="_Toc7890"/>
      <w:bookmarkStart w:id="27" w:name="_Toc89083382"/>
      <w:r>
        <w:rPr>
          <w:rFonts w:hint="eastAsia"/>
        </w:rPr>
        <w:t>（一）适用范围</w:t>
      </w:r>
      <w:bookmarkEnd w:id="26"/>
      <w:bookmarkEnd w:id="27"/>
    </w:p>
    <w:p w14:paraId="2F7BB0B2">
      <w:pPr>
        <w:pStyle w:val="11"/>
        <w:rPr>
          <w:rFonts w:ascii="仿宋" w:hAnsi="仿宋" w:eastAsia="仿宋" w:cs="仿宋"/>
        </w:rPr>
      </w:pPr>
      <w:bookmarkStart w:id="28" w:name="_Toc19666"/>
      <w:bookmarkStart w:id="29" w:name="_Toc89083383"/>
      <w:r>
        <w:rPr>
          <w:rFonts w:hint="eastAsia" w:ascii="仿宋" w:hAnsi="仿宋" w:eastAsia="仿宋" w:cs="仿宋"/>
        </w:rPr>
        <w:t>本文件适用于南通地区老年人失能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预防干预服务。</w:t>
      </w:r>
    </w:p>
    <w:p w14:paraId="63AB0115">
      <w:pPr>
        <w:pStyle w:val="11"/>
      </w:pPr>
      <w:r>
        <w:rPr>
          <w:rFonts w:hint="eastAsia"/>
        </w:rPr>
        <w:t>（二）主要条款</w:t>
      </w:r>
      <w:bookmarkEnd w:id="28"/>
      <w:bookmarkEnd w:id="29"/>
    </w:p>
    <w:p w14:paraId="2A8A1E6A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本标准主体架构为：对老年人失能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预防干预的范围、</w:t>
      </w:r>
      <w:bookmarkStart w:id="30" w:name="_Toc536111834"/>
      <w:bookmarkStart w:id="31" w:name="_Toc536113168"/>
      <w:bookmarkStart w:id="32" w:name="_Toc536111754"/>
      <w:bookmarkStart w:id="33" w:name="_Toc536111686"/>
      <w:r>
        <w:rPr>
          <w:rFonts w:hint="eastAsia" w:ascii="仿宋" w:hAnsi="仿宋" w:eastAsia="仿宋" w:cs="仿宋"/>
        </w:rPr>
        <w:t>规范性引用文件</w:t>
      </w:r>
      <w:bookmarkEnd w:id="30"/>
      <w:bookmarkEnd w:id="31"/>
      <w:bookmarkEnd w:id="32"/>
      <w:bookmarkEnd w:id="33"/>
      <w:r>
        <w:rPr>
          <w:rFonts w:hint="eastAsia" w:ascii="仿宋" w:hAnsi="仿宋" w:eastAsia="仿宋" w:cs="仿宋"/>
        </w:rPr>
        <w:t>、术语和定义、</w:t>
      </w:r>
      <w:r>
        <w:rPr>
          <w:rFonts w:hint="eastAsia" w:ascii="仿宋" w:hAnsi="仿宋" w:eastAsia="仿宋" w:cs="仿宋"/>
          <w:lang w:val="en-US" w:eastAsia="zh-CN"/>
        </w:rPr>
        <w:t>基本</w:t>
      </w:r>
      <w:r>
        <w:rPr>
          <w:rFonts w:hint="eastAsia" w:ascii="仿宋" w:hAnsi="仿宋" w:eastAsia="仿宋" w:cs="仿宋"/>
        </w:rPr>
        <w:t>原则、服务</w:t>
      </w:r>
      <w:r>
        <w:rPr>
          <w:rFonts w:hint="eastAsia" w:ascii="仿宋" w:hAnsi="仿宋" w:eastAsia="仿宋" w:cs="仿宋"/>
          <w:lang w:val="en-US" w:eastAsia="zh-CN"/>
        </w:rPr>
        <w:t>要求</w:t>
      </w:r>
      <w:r>
        <w:rPr>
          <w:rFonts w:hint="eastAsia" w:ascii="仿宋" w:hAnsi="仿宋" w:eastAsia="仿宋" w:cs="仿宋"/>
        </w:rPr>
        <w:t>、服务</w:t>
      </w:r>
      <w:r>
        <w:rPr>
          <w:rFonts w:hint="eastAsia" w:ascii="仿宋" w:hAnsi="仿宋" w:eastAsia="仿宋" w:cs="仿宋"/>
          <w:lang w:val="en-US" w:eastAsia="zh-CN"/>
        </w:rPr>
        <w:t>内容</w:t>
      </w:r>
      <w:r>
        <w:rPr>
          <w:rFonts w:hint="eastAsia" w:ascii="仿宋" w:hAnsi="仿宋" w:eastAsia="仿宋" w:cs="仿宋"/>
        </w:rPr>
        <w:t>、服务流程、服务评价、服务反馈与改进等9个部分进行了要求。</w:t>
      </w:r>
    </w:p>
    <w:p w14:paraId="29967FE9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第1部分“范围”规定了本标准的适用范围。</w:t>
      </w:r>
    </w:p>
    <w:p w14:paraId="73726DDB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第2部分“规范性引用文件”阐述了本标准所引用的规范性文件。</w:t>
      </w:r>
    </w:p>
    <w:p w14:paraId="4DA3DCF8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第3部分“术语和定义”对“老年人失能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老年人</w:t>
      </w:r>
      <w:r>
        <w:rPr>
          <w:rFonts w:hint="eastAsia" w:ascii="仿宋" w:hAnsi="仿宋" w:eastAsia="仿宋" w:cs="仿宋"/>
        </w:rPr>
        <w:t>失智、老年人失能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</w:t>
      </w:r>
      <w:r>
        <w:rPr>
          <w:rFonts w:hint="eastAsia" w:ascii="仿宋" w:hAnsi="仿宋" w:eastAsia="仿宋" w:cs="仿宋"/>
          <w:lang w:eastAsia="zh-CN"/>
        </w:rPr>
        <w:t>、</w:t>
      </w:r>
      <w:r>
        <w:rPr>
          <w:rFonts w:hint="eastAsia" w:ascii="仿宋" w:hAnsi="仿宋" w:eastAsia="仿宋" w:cs="仿宋"/>
          <w:lang w:val="en-US" w:eastAsia="zh-CN"/>
        </w:rPr>
        <w:t>评估员、指导员</w:t>
      </w:r>
      <w:r>
        <w:rPr>
          <w:rFonts w:hint="eastAsia" w:ascii="仿宋" w:hAnsi="仿宋" w:eastAsia="仿宋" w:cs="仿宋"/>
        </w:rPr>
        <w:t>”进行了定义。</w:t>
      </w:r>
    </w:p>
    <w:p w14:paraId="6A667E2E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第4部分“</w:t>
      </w:r>
      <w:r>
        <w:rPr>
          <w:rFonts w:hint="eastAsia" w:ascii="仿宋" w:hAnsi="仿宋" w:eastAsia="仿宋" w:cs="仿宋"/>
          <w:lang w:val="en-US" w:eastAsia="zh-CN"/>
        </w:rPr>
        <w:t>基本</w:t>
      </w:r>
      <w:r>
        <w:rPr>
          <w:rFonts w:hint="eastAsia" w:ascii="仿宋" w:hAnsi="仿宋" w:eastAsia="仿宋" w:cs="仿宋"/>
        </w:rPr>
        <w:t>原则”对老年人失能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</w:t>
      </w:r>
      <w:r>
        <w:rPr>
          <w:rFonts w:hint="eastAsia" w:ascii="仿宋" w:hAnsi="仿宋" w:eastAsia="仿宋" w:cs="仿宋"/>
          <w:lang w:val="en-US" w:eastAsia="zh-CN"/>
        </w:rPr>
        <w:t>服务提出应遵循的基本原则</w:t>
      </w:r>
      <w:r>
        <w:rPr>
          <w:rFonts w:hint="eastAsia" w:ascii="仿宋" w:hAnsi="仿宋" w:eastAsia="仿宋" w:cs="仿宋"/>
        </w:rPr>
        <w:t>。</w:t>
      </w:r>
    </w:p>
    <w:p w14:paraId="7B80C808">
      <w:pPr>
        <w:pStyle w:val="11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第5部分“</w:t>
      </w:r>
      <w:r>
        <w:rPr>
          <w:rFonts w:hint="eastAsia" w:ascii="仿宋" w:hAnsi="仿宋" w:eastAsia="仿宋" w:cs="仿宋"/>
          <w:lang w:val="en-US" w:eastAsia="zh-CN"/>
        </w:rPr>
        <w:t>服务要求</w:t>
      </w:r>
      <w:r>
        <w:rPr>
          <w:rFonts w:hint="eastAsia" w:ascii="仿宋" w:hAnsi="仿宋" w:eastAsia="仿宋" w:cs="仿宋"/>
        </w:rPr>
        <w:t>”</w:t>
      </w:r>
      <w:r>
        <w:rPr>
          <w:rFonts w:hint="eastAsia" w:ascii="仿宋" w:hAnsi="仿宋" w:eastAsia="仿宋" w:cs="仿宋"/>
          <w:lang w:val="en-US" w:eastAsia="zh-CN"/>
        </w:rPr>
        <w:t>对老年人失能（失智）预防干预的组织单位、人员、场所、物资、安全、信息管理提出了具体要求。</w:t>
      </w:r>
    </w:p>
    <w:p w14:paraId="271DDF92">
      <w:pPr>
        <w:pStyle w:val="14"/>
        <w:spacing w:line="500" w:lineRule="exact"/>
        <w:ind w:firstLine="64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第6部分“服务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内容</w:t>
      </w:r>
      <w:r>
        <w:rPr>
          <w:rFonts w:hint="eastAsia" w:ascii="仿宋" w:hAnsi="仿宋" w:eastAsia="仿宋" w:cs="仿宋"/>
          <w:kern w:val="2"/>
          <w:sz w:val="32"/>
          <w:szCs w:val="32"/>
        </w:rPr>
        <w:t>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规定了</w:t>
      </w:r>
      <w:r>
        <w:rPr>
          <w:rFonts w:hint="eastAsia" w:ascii="仿宋" w:hAnsi="仿宋" w:eastAsia="仿宋" w:cs="仿宋"/>
          <w:kern w:val="2"/>
          <w:sz w:val="32"/>
          <w:szCs w:val="32"/>
        </w:rPr>
        <w:t>老年人失能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</w:rPr>
        <w:t>失智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32"/>
          <w:szCs w:val="32"/>
        </w:rPr>
        <w:t>预防干预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服务中基本信息采集、风险评估、身体机能检测、预防干预服务（干预项目、服务频次、服务人数）的内容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51AB68F7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第7部分“服务流程”</w:t>
      </w:r>
      <w:r>
        <w:rPr>
          <w:rFonts w:hint="eastAsia" w:ascii="仿宋" w:hAnsi="仿宋" w:eastAsia="仿宋" w:cs="仿宋"/>
          <w:lang w:val="en-US" w:eastAsia="zh-CN"/>
        </w:rPr>
        <w:t>提出</w:t>
      </w:r>
      <w:r>
        <w:rPr>
          <w:rFonts w:hint="eastAsia" w:ascii="仿宋" w:hAnsi="仿宋" w:eastAsia="仿宋" w:cs="仿宋"/>
        </w:rPr>
        <w:t>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预防干预服务的具体流程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hint="eastAsia" w:ascii="仿宋" w:hAnsi="仿宋" w:eastAsia="仿宋" w:cs="仿宋"/>
          <w:lang w:val="en-US" w:eastAsia="zh-CN"/>
        </w:rPr>
        <w:t>包括填写申请表、风险评估、签署安全责任承诺书、制定干预方案、指导员培训考核、确定班级场所和时间、指导员备课、开展预防干预服务、记录汇总实施情况、预防干预分析归档</w:t>
      </w:r>
      <w:r>
        <w:rPr>
          <w:rFonts w:hint="eastAsia" w:ascii="仿宋" w:hAnsi="仿宋" w:eastAsia="仿宋" w:cs="仿宋"/>
        </w:rPr>
        <w:t>。</w:t>
      </w:r>
    </w:p>
    <w:p w14:paraId="11746438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第8部分“服务评价”提出了老年人失能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预防干预服务评价要求。</w:t>
      </w:r>
    </w:p>
    <w:p w14:paraId="1907C635">
      <w:pPr>
        <w:pStyle w:val="1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第9部分“服务反馈与改进”对老年人失能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失智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预防干预服务的持续改进提出了要求。</w:t>
      </w:r>
    </w:p>
    <w:p w14:paraId="7B9CB14A">
      <w:pPr>
        <w:pStyle w:val="12"/>
        <w:ind w:firstLine="0" w:firstLineChars="0"/>
        <w:rPr>
          <w:rFonts w:ascii="仿宋" w:hAnsi="仿宋" w:eastAsia="仿宋" w:cs="仿宋"/>
          <w:bCs/>
        </w:rPr>
      </w:pPr>
    </w:p>
    <w:p w14:paraId="5583FE35">
      <w:pPr>
        <w:adjustRightInd w:val="0"/>
        <w:snapToGrid w:val="0"/>
        <w:spacing w:line="440" w:lineRule="atLeast"/>
        <w:ind w:firstLine="480" w:firstLineChars="200"/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B386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A5A5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7A5A5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34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NGJmZjJiYWYzY2VlZTVjNmQ5N2VhZTQ2YmI1NzEifQ=="/>
  </w:docVars>
  <w:rsids>
    <w:rsidRoot w:val="00457B68"/>
    <w:rsid w:val="000303BF"/>
    <w:rsid w:val="00457B68"/>
    <w:rsid w:val="005F5CD8"/>
    <w:rsid w:val="00E755FB"/>
    <w:rsid w:val="03206AAA"/>
    <w:rsid w:val="04BA7AB6"/>
    <w:rsid w:val="05D21503"/>
    <w:rsid w:val="0B8C242F"/>
    <w:rsid w:val="0CFD7BEA"/>
    <w:rsid w:val="0F2C4250"/>
    <w:rsid w:val="1EBC3110"/>
    <w:rsid w:val="21520241"/>
    <w:rsid w:val="2D6E2C02"/>
    <w:rsid w:val="2DCC054E"/>
    <w:rsid w:val="2E211818"/>
    <w:rsid w:val="2E597DAF"/>
    <w:rsid w:val="30775E5C"/>
    <w:rsid w:val="32847649"/>
    <w:rsid w:val="34FF774A"/>
    <w:rsid w:val="3D5A37F9"/>
    <w:rsid w:val="482F5E51"/>
    <w:rsid w:val="484F2050"/>
    <w:rsid w:val="4A51572C"/>
    <w:rsid w:val="51316796"/>
    <w:rsid w:val="56CB2912"/>
    <w:rsid w:val="56CB374C"/>
    <w:rsid w:val="590B1FC3"/>
    <w:rsid w:val="5AD66EC2"/>
    <w:rsid w:val="5BF27BDB"/>
    <w:rsid w:val="5C9F3FFC"/>
    <w:rsid w:val="621E45D6"/>
    <w:rsid w:val="63D43B40"/>
    <w:rsid w:val="65D06AFD"/>
    <w:rsid w:val="6AF54B4C"/>
    <w:rsid w:val="6E3A1C14"/>
    <w:rsid w:val="6F3C5AED"/>
    <w:rsid w:val="7377612B"/>
    <w:rsid w:val="73CF5C6F"/>
    <w:rsid w:val="7530273D"/>
    <w:rsid w:val="777F5C76"/>
    <w:rsid w:val="7C4D47A8"/>
    <w:rsid w:val="7E2543FA"/>
    <w:rsid w:val="7EBE2F65"/>
    <w:rsid w:val="7F9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9">
    <w:name w:val="Body text|1"/>
    <w:basedOn w:val="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公文一级"/>
    <w:basedOn w:val="1"/>
    <w:qFormat/>
    <w:uiPriority w:val="0"/>
    <w:pPr>
      <w:spacing w:line="560" w:lineRule="exact"/>
      <w:ind w:firstLine="640" w:firstLineChars="200"/>
      <w:outlineLvl w:val="0"/>
    </w:pPr>
    <w:rPr>
      <w:rFonts w:ascii="黑体" w:hAnsi="黑体" w:eastAsia="黑体"/>
      <w:sz w:val="32"/>
      <w:szCs w:val="32"/>
    </w:rPr>
  </w:style>
  <w:style w:type="paragraph" w:customStyle="1" w:styleId="11">
    <w:name w:val="公文二级"/>
    <w:basedOn w:val="1"/>
    <w:qFormat/>
    <w:uiPriority w:val="0"/>
    <w:pPr>
      <w:spacing w:line="560" w:lineRule="exact"/>
      <w:ind w:firstLine="640" w:firstLineChars="200"/>
      <w:outlineLvl w:val="1"/>
    </w:pPr>
    <w:rPr>
      <w:rFonts w:ascii="方正楷体_GB2312" w:eastAsia="方正楷体_GB2312"/>
      <w:sz w:val="32"/>
      <w:szCs w:val="32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方正仿宋_GB2312" w:eastAsia="方正仿宋_GB2312"/>
      <w:sz w:val="32"/>
      <w:szCs w:val="32"/>
    </w:rPr>
  </w:style>
  <w:style w:type="paragraph" w:customStyle="1" w:styleId="13">
    <w:name w:val="章标题"/>
    <w:next w:val="1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一级条标题"/>
    <w:next w:val="14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三级条标题"/>
    <w:basedOn w:val="17"/>
    <w:next w:val="14"/>
    <w:qFormat/>
    <w:uiPriority w:val="0"/>
    <w:pPr>
      <w:numPr>
        <w:ilvl w:val="0"/>
        <w:numId w:val="0"/>
      </w:numPr>
      <w:outlineLvl w:val="4"/>
    </w:pPr>
  </w:style>
  <w:style w:type="paragraph" w:customStyle="1" w:styleId="17">
    <w:name w:val="二级条标题"/>
    <w:basedOn w:val="15"/>
    <w:next w:val="1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4445</Characters>
  <Lines>24</Lines>
  <Paragraphs>6</Paragraphs>
  <TotalTime>4</TotalTime>
  <ScaleCrop>false</ScaleCrop>
  <LinksUpToDate>false</LinksUpToDate>
  <CharactersWithSpaces>4449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2023-11-10T01:38:00Z</dcterms:created>
  <dc:creator>Administrator</dc:creator>
  <cp:lastModifiedBy>张洁</cp:lastModifiedBy>
  <dcterms:modified xsi:type="dcterms:W3CDTF">2025-05-20T01:55:20Z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7CBE290145874A92B64D95EF04761369_12</vt:lpwstr>
  </property>
  <property fmtid="{D5CDD505-2E9C-101B-9397-08002B2CF9AE}" pid="4" name="KSOTemplateDocerSaveRecord">
    <vt:lpwstr>eyJoZGlkIjoiNDI0YzJlZjM2ZWY4NDI2M2U1YmRhMzRjYTJlYTc5MmUiLCJ1c2VySWQiOiI0MzM0OTM4OTQifQ==</vt:lpwstr>
  </property>
</Properties>
</file>