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3BF26">
      <w:pPr>
        <w:keepNext w:val="0"/>
        <w:keepLines w:val="0"/>
        <w:pageBreakBefore w:val="0"/>
        <w:widowControl w:val="0"/>
        <w:shd w:val="clear"/>
        <w:kinsoku/>
        <w:wordWrap/>
        <w:overflowPunct/>
        <w:topLinePunct w:val="0"/>
        <w:autoSpaceDE/>
        <w:autoSpaceDN/>
        <w:bidi w:val="0"/>
        <w:adjustRightInd/>
        <w:snapToGrid/>
        <w:spacing w:line="560" w:lineRule="exact"/>
        <w:ind w:right="0"/>
        <w:jc w:val="center"/>
        <w:textAlignment w:val="auto"/>
        <w:rPr>
          <w:rFonts w:eastAsia="方正小标宋_GBK"/>
          <w:kern w:val="0"/>
          <w:sz w:val="44"/>
          <w:szCs w:val="44"/>
          <w:highlight w:val="none"/>
        </w:rPr>
      </w:pPr>
      <w:r>
        <w:rPr>
          <w:rFonts w:hint="eastAsia" w:eastAsia="方正小标宋_GBK"/>
          <w:kern w:val="0"/>
          <w:sz w:val="44"/>
          <w:szCs w:val="44"/>
          <w:highlight w:val="none"/>
          <w:lang w:eastAsia="zh-CN"/>
        </w:rPr>
        <w:t>《</w:t>
      </w:r>
      <w:bookmarkStart w:id="11" w:name="_GoBack"/>
      <w:r>
        <w:rPr>
          <w:rFonts w:hint="eastAsia" w:eastAsia="方正小标宋_GBK"/>
          <w:kern w:val="0"/>
          <w:sz w:val="44"/>
          <w:szCs w:val="44"/>
          <w:highlight w:val="none"/>
          <w:lang w:eastAsia="zh-CN"/>
        </w:rPr>
        <w:t>企业类备案主体专利申请预审服务与管理规范</w:t>
      </w:r>
      <w:bookmarkEnd w:id="11"/>
      <w:r>
        <w:rPr>
          <w:rFonts w:hint="eastAsia" w:eastAsia="方正小标宋_GBK"/>
          <w:kern w:val="0"/>
          <w:sz w:val="44"/>
          <w:szCs w:val="44"/>
          <w:highlight w:val="none"/>
          <w:lang w:eastAsia="zh-CN"/>
        </w:rPr>
        <w:t>》</w:t>
      </w:r>
      <w:r>
        <w:rPr>
          <w:rFonts w:hint="eastAsia" w:eastAsia="方正小标宋_GBK"/>
          <w:kern w:val="0"/>
          <w:sz w:val="44"/>
          <w:szCs w:val="44"/>
          <w:highlight w:val="none"/>
        </w:rPr>
        <w:t>编制说明</w:t>
      </w:r>
    </w:p>
    <w:p w14:paraId="738257C3">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eastAsia" w:ascii="方正黑体_GBK" w:eastAsia="方正黑体_GBK"/>
          <w:sz w:val="32"/>
          <w:szCs w:val="32"/>
          <w:highlight w:val="none"/>
        </w:rPr>
      </w:pPr>
    </w:p>
    <w:p w14:paraId="0D402845">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ascii="方正黑体_GBK" w:eastAsia="方正黑体_GBK"/>
          <w:sz w:val="32"/>
          <w:szCs w:val="32"/>
          <w:highlight w:val="none"/>
        </w:rPr>
      </w:pPr>
      <w:r>
        <w:rPr>
          <w:rFonts w:hint="eastAsia" w:ascii="方正黑体_GBK" w:eastAsia="方正黑体_GBK"/>
          <w:sz w:val="32"/>
          <w:szCs w:val="32"/>
          <w:highlight w:val="none"/>
        </w:rPr>
        <w:t>一、目的意义</w:t>
      </w:r>
    </w:p>
    <w:p w14:paraId="7B803A6D">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随</w:t>
      </w:r>
      <w:r>
        <w:rPr>
          <w:rFonts w:hint="default" w:ascii="Times New Roman" w:hAnsi="Times New Roman" w:eastAsia="方正仿宋_GBK" w:cs="Times New Roman"/>
          <w:sz w:val="32"/>
          <w:szCs w:val="32"/>
          <w:highlight w:val="none"/>
        </w:rPr>
        <w:t>着《知识产权强国建设纲要（2021－2035年）》的发布实施，知识产权强国建设被推向了新的高度。与此同时，为解决创新主体专利申请审查周期长、维权举证难、成本高等问题应运而生的知识产权保护中心迅速在全国各地建立起来，为提升地方营商环境，完善上下游产业链，助力经济高质量发展做了重要支撑。</w:t>
      </w:r>
    </w:p>
    <w:p w14:paraId="314BE930">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随着各地保护中心陆续投入运行，统一的标准化流程管理缺失问题日渐凸显，特别在专利预审方面，虽然不同地区在工作中逐渐形成了一些具有地方特色的规章制度，但固化为相关标准的较少。在我省仅有江苏省知识产权保护中心和泰州市知识产权保护中心对专利预审流程制定过相关标准，但上述标准未能很好地契合我市专利预审实际，我市在实践过程中探索出的一些卓有成效的做法未能得到体现，比如：1.备案主体分等评级在提升预审工作能效方面的有益尝试；2.保护中心针对不同信用类别创新主体提供的差异化服务；3.预审流程中规避非正常申请、提升申请质量地方性做法；4.我市对备案主体相关违规行为的惩处原则和方式等。</w:t>
      </w:r>
    </w:p>
    <w:p w14:paraId="14DDF5EC">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为更好地发挥专利预审服务对南通创新驱动发展的推动作用，提升我市专利预审质量，有效规范备案主体专利预审申请行为，提高专利预审审查效能，参考《国家知识产权局关于开展知识产权快速协同保护工作的通知》（国知发管字〔2016〕92号）《国家知识产权局关于进一步严格规范专利申请行为的通知》（国知发保字〔2021〕1号）等文件精神，结合本地区近两年预审工作实际，制定本标准。</w:t>
      </w:r>
    </w:p>
    <w:p w14:paraId="2399F23B">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ascii="方正黑体_GBK" w:eastAsia="方正黑体_GBK"/>
          <w:sz w:val="32"/>
          <w:szCs w:val="32"/>
          <w:highlight w:val="none"/>
        </w:rPr>
      </w:pPr>
      <w:r>
        <w:rPr>
          <w:rFonts w:hint="eastAsia" w:ascii="方正黑体_GBK" w:eastAsia="方正黑体_GBK"/>
          <w:sz w:val="32"/>
          <w:szCs w:val="32"/>
          <w:highlight w:val="none"/>
        </w:rPr>
        <w:t>二、任务来源</w:t>
      </w:r>
    </w:p>
    <w:p w14:paraId="77E183E4">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2024年1月8日，南通市标准化工作联席会议办公室发布了《关于组织申报2024年度南通市地方标准的通知》（通标联办发</w:t>
      </w:r>
      <w:r>
        <w:rPr>
          <w:rFonts w:hint="default" w:ascii="Times New Roman" w:hAnsi="Times New Roman" w:eastAsia="方正仿宋_GBK" w:cs="Times New Roman"/>
          <w:sz w:val="32"/>
          <w:szCs w:val="32"/>
          <w:highlight w:val="none"/>
        </w:rPr>
        <w:t>〔2024〕</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w:t>
      </w:r>
    </w:p>
    <w:p w14:paraId="0DDA0B15">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22</w:t>
      </w:r>
      <w:r>
        <w:rPr>
          <w:rFonts w:hint="default" w:ascii="Times New Roman" w:hAnsi="Times New Roman" w:eastAsia="方正仿宋_GBK" w:cs="Times New Roman"/>
          <w:sz w:val="32"/>
          <w:szCs w:val="32"/>
          <w:highlight w:val="none"/>
        </w:rPr>
        <w:t>日，南通市</w:t>
      </w:r>
      <w:r>
        <w:rPr>
          <w:rFonts w:hint="default" w:ascii="Times New Roman" w:hAnsi="Times New Roman" w:eastAsia="方正仿宋_GBK" w:cs="Times New Roman"/>
          <w:sz w:val="32"/>
          <w:szCs w:val="32"/>
          <w:highlight w:val="none"/>
          <w:lang w:val="en-US" w:eastAsia="zh-CN"/>
        </w:rPr>
        <w:t>知识产权保护中心</w:t>
      </w:r>
      <w:r>
        <w:rPr>
          <w:rFonts w:hint="default" w:ascii="Times New Roman" w:hAnsi="Times New Roman" w:eastAsia="方正仿宋_GBK" w:cs="Times New Roman"/>
          <w:sz w:val="32"/>
          <w:szCs w:val="32"/>
          <w:highlight w:val="none"/>
        </w:rPr>
        <w:t>填写申报材料进行项目申报</w:t>
      </w:r>
      <w:r>
        <w:rPr>
          <w:rFonts w:hint="default" w:ascii="Times New Roman" w:hAnsi="Times New Roman" w:eastAsia="方正仿宋_GBK" w:cs="Times New Roman"/>
          <w:sz w:val="32"/>
          <w:szCs w:val="32"/>
          <w:highlight w:val="none"/>
          <w:lang w:eastAsia="zh-CN"/>
        </w:rPr>
        <w:t>；</w:t>
      </w:r>
    </w:p>
    <w:p w14:paraId="2D3E839F">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2024年5月17日，南通市市场监督管理局《关于下达2024年度第二批南通市地方标准项目计划的通知》（通市监函〔2024〕38号），本标准正式批准立项，标准名称为《备案主体专利申请预审服务与管理规范》，标准立项序号NT2024-33。在标准起草过程中，结合多方意见，将名称改为《企业类备案主体专利申请预审服务与管理规范》。</w:t>
      </w:r>
    </w:p>
    <w:p w14:paraId="41E57765">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ascii="方正黑体_GBK" w:eastAsia="方正黑体_GBK"/>
          <w:sz w:val="32"/>
          <w:szCs w:val="32"/>
          <w:highlight w:val="none"/>
        </w:rPr>
      </w:pPr>
      <w:r>
        <w:rPr>
          <w:rFonts w:hint="eastAsia" w:ascii="方正黑体_GBK" w:eastAsia="方正黑体_GBK"/>
          <w:sz w:val="32"/>
          <w:szCs w:val="32"/>
          <w:highlight w:val="none"/>
        </w:rPr>
        <w:t>三、编制过程</w:t>
      </w:r>
    </w:p>
    <w:p w14:paraId="27022CC1">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（一）准备（202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月-2月）</w:t>
      </w:r>
    </w:p>
    <w:p w14:paraId="21DC8BA7">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南通市知识产权保护中心</w:t>
      </w:r>
      <w:r>
        <w:rPr>
          <w:rFonts w:hint="default" w:ascii="Times New Roman" w:hAnsi="Times New Roman" w:eastAsia="方正仿宋_GBK" w:cs="Times New Roman"/>
          <w:sz w:val="32"/>
          <w:szCs w:val="32"/>
          <w:highlight w:val="none"/>
        </w:rPr>
        <w:t>接到南通市标准化工作联席会议办公室发布</w:t>
      </w:r>
      <w:r>
        <w:rPr>
          <w:rFonts w:hint="default"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rPr>
        <w:t>《关于组织申报2024年度南通市地方标准的通知》（通标联办发〔2024〕1号）后，抓紧推进备案主体专利申请预审服务与管理规范地方标准制定工作</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成立</w:t>
      </w:r>
      <w:r>
        <w:rPr>
          <w:rFonts w:hint="default" w:ascii="Times New Roman" w:hAnsi="Times New Roman" w:eastAsia="方正仿宋_GBK" w:cs="Times New Roman"/>
          <w:sz w:val="32"/>
          <w:szCs w:val="32"/>
          <w:highlight w:val="none"/>
          <w:lang w:val="en-US" w:eastAsia="zh-CN"/>
        </w:rPr>
        <w:t>了专项</w:t>
      </w:r>
      <w:r>
        <w:rPr>
          <w:rFonts w:hint="default" w:ascii="Times New Roman" w:hAnsi="Times New Roman" w:eastAsia="方正仿宋_GBK" w:cs="Times New Roman"/>
          <w:sz w:val="32"/>
          <w:szCs w:val="32"/>
          <w:highlight w:val="none"/>
        </w:rPr>
        <w:t>工作小组。</w:t>
      </w:r>
      <w:r>
        <w:rPr>
          <w:rFonts w:hint="eastAsia" w:ascii="Times New Roman" w:hAnsi="Times New Roman" w:eastAsia="方正仿宋_GBK" w:cs="Times New Roman"/>
          <w:sz w:val="32"/>
          <w:szCs w:val="32"/>
          <w:highlight w:val="none"/>
          <w:lang w:val="en-US" w:eastAsia="zh-CN"/>
        </w:rPr>
        <w:t>着手</w:t>
      </w:r>
      <w:r>
        <w:rPr>
          <w:rFonts w:hint="default" w:ascii="Times New Roman" w:hAnsi="Times New Roman" w:eastAsia="方正仿宋_GBK" w:cs="Times New Roman"/>
          <w:sz w:val="32"/>
          <w:szCs w:val="32"/>
          <w:highlight w:val="none"/>
        </w:rPr>
        <w:t>收集并整理相关资料，为标准化制定做好准备。</w:t>
      </w:r>
    </w:p>
    <w:p w14:paraId="6617D30B">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（二）调研（202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p>
    <w:p w14:paraId="23376A90">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标准起草小组查阅了大量相关文献资料</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收集</w:t>
      </w:r>
      <w:r>
        <w:rPr>
          <w:rFonts w:hint="default" w:ascii="Times New Roman" w:hAnsi="Times New Roman" w:eastAsia="方正仿宋_GBK" w:cs="Times New Roman"/>
          <w:sz w:val="32"/>
          <w:szCs w:val="32"/>
          <w:highlight w:val="none"/>
          <w:lang w:val="en-US" w:eastAsia="zh-CN"/>
        </w:rPr>
        <w:t>整理</w:t>
      </w:r>
      <w:r>
        <w:rPr>
          <w:rFonts w:hint="default" w:ascii="Times New Roman" w:hAnsi="Times New Roman" w:eastAsia="方正仿宋_GBK" w:cs="Times New Roman"/>
          <w:sz w:val="32"/>
          <w:szCs w:val="32"/>
          <w:highlight w:val="none"/>
        </w:rPr>
        <w:t>了全</w:t>
      </w:r>
      <w:r>
        <w:rPr>
          <w:rFonts w:hint="default" w:ascii="Times New Roman" w:hAnsi="Times New Roman" w:eastAsia="方正仿宋_GBK" w:cs="Times New Roman"/>
          <w:sz w:val="32"/>
          <w:szCs w:val="32"/>
          <w:highlight w:val="none"/>
          <w:lang w:val="en-US" w:eastAsia="zh-CN"/>
        </w:rPr>
        <w:t>省</w:t>
      </w:r>
      <w:r>
        <w:rPr>
          <w:rFonts w:hint="default" w:ascii="Times New Roman" w:hAnsi="Times New Roman" w:eastAsia="方正仿宋_GBK" w:cs="Times New Roman"/>
          <w:sz w:val="32"/>
          <w:szCs w:val="32"/>
          <w:highlight w:val="none"/>
        </w:rPr>
        <w:t>各地区已发布实施的相关标准和政策文件。对《专利申请预审规范》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DB32/T 4157-2021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《备案主体专利申请预审服务与管理规范》（DB3212/T 1143-2023）等文件进行了分析研究，充分了解了</w:t>
      </w:r>
      <w:r>
        <w:rPr>
          <w:rFonts w:hint="eastAsia" w:ascii="Times New Roman" w:hAnsi="Times New Roman" w:eastAsia="方正仿宋_GBK" w:cs="Times New Roman"/>
          <w:sz w:val="32"/>
          <w:szCs w:val="32"/>
          <w:highlight w:val="none"/>
          <w:lang w:val="en-US" w:eastAsia="zh-CN"/>
        </w:rPr>
        <w:t>我市相应</w:t>
      </w:r>
      <w:r>
        <w:rPr>
          <w:rFonts w:hint="default" w:ascii="Times New Roman" w:hAnsi="Times New Roman" w:eastAsia="方正仿宋_GBK" w:cs="Times New Roman"/>
          <w:sz w:val="32"/>
          <w:szCs w:val="32"/>
          <w:highlight w:val="none"/>
        </w:rPr>
        <w:t>标准化对象和当前需求。</w:t>
      </w:r>
    </w:p>
    <w:p w14:paraId="6FCD55EE">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（三）编制（202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月）</w:t>
      </w:r>
    </w:p>
    <w:p w14:paraId="2685AEC1">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标准起草小组召开会议，确定</w:t>
      </w:r>
      <w:r>
        <w:rPr>
          <w:rFonts w:hint="default" w:ascii="Times New Roman" w:hAnsi="Times New Roman" w:eastAsia="方正仿宋_GBK" w:cs="Times New Roman"/>
          <w:sz w:val="32"/>
          <w:szCs w:val="32"/>
          <w:highlight w:val="none"/>
          <w:lang w:val="en-US" w:eastAsia="zh-CN"/>
        </w:rPr>
        <w:t>了</w:t>
      </w:r>
      <w:r>
        <w:rPr>
          <w:rFonts w:hint="default" w:ascii="Times New Roman" w:hAnsi="Times New Roman" w:eastAsia="方正仿宋_GBK" w:cs="Times New Roman"/>
          <w:sz w:val="32"/>
          <w:szCs w:val="32"/>
          <w:highlight w:val="none"/>
        </w:rPr>
        <w:t>标准起草工作的基本原则和思路、制定大纲、人员分工和计划安排</w:t>
      </w:r>
      <w:r>
        <w:rPr>
          <w:rFonts w:hint="default" w:ascii="Times New Roman" w:hAnsi="Times New Roman" w:eastAsia="方正仿宋_GBK" w:cs="Times New Roman"/>
          <w:sz w:val="32"/>
          <w:szCs w:val="32"/>
          <w:highlight w:val="none"/>
          <w:lang w:val="en-US" w:eastAsia="zh-CN"/>
        </w:rPr>
        <w:t>以及</w:t>
      </w:r>
      <w:r>
        <w:rPr>
          <w:rFonts w:hint="default" w:ascii="Times New Roman" w:hAnsi="Times New Roman" w:eastAsia="方正仿宋_GBK" w:cs="Times New Roman"/>
          <w:sz w:val="32"/>
          <w:szCs w:val="32"/>
          <w:highlight w:val="none"/>
        </w:rPr>
        <w:t>标准框架。</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下</w:t>
      </w:r>
      <w:r>
        <w:rPr>
          <w:rFonts w:hint="default" w:ascii="Times New Roman" w:hAnsi="Times New Roman" w:eastAsia="方正仿宋_GBK" w:cs="Times New Roman"/>
          <w:sz w:val="32"/>
          <w:szCs w:val="32"/>
          <w:highlight w:val="none"/>
        </w:rPr>
        <w:t>旬，起草小组完成标准讨论稿第一稿。根据标准起草时间的进度安排，起草小组</w:t>
      </w:r>
      <w:r>
        <w:rPr>
          <w:rFonts w:hint="default" w:ascii="Times New Roman" w:hAnsi="Times New Roman" w:eastAsia="方正仿宋_GBK" w:cs="Times New Roman"/>
          <w:sz w:val="32"/>
          <w:szCs w:val="32"/>
          <w:highlight w:val="none"/>
          <w:lang w:val="en-US" w:eastAsia="zh-CN"/>
        </w:rPr>
        <w:t>征求了部分备案主体和代理机构意见</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在此基础上</w:t>
      </w:r>
      <w:r>
        <w:rPr>
          <w:rFonts w:hint="default" w:ascii="Times New Roman" w:hAnsi="Times New Roman" w:eastAsia="方正仿宋_GBK" w:cs="Times New Roman"/>
          <w:sz w:val="32"/>
          <w:szCs w:val="32"/>
          <w:highlight w:val="none"/>
        </w:rPr>
        <w:t>对标准进行了修改，形成了标准征求意见稿。</w:t>
      </w:r>
    </w:p>
    <w:p w14:paraId="0B944D4B">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rPr>
        <w:t>）征求意见（202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p>
    <w:p w14:paraId="04B02D72">
      <w:pPr>
        <w:pStyle w:val="17"/>
        <w:keepNext w:val="0"/>
        <w:keepLines w:val="0"/>
        <w:pageBreakBefore w:val="0"/>
        <w:widowControl w:val="0"/>
        <w:shd w:val="clear"/>
        <w:kinsoku/>
        <w:wordWrap/>
        <w:overflowPunct/>
        <w:topLinePunct w:val="0"/>
        <w:autoSpaceDE/>
        <w:autoSpaceDN/>
        <w:bidi w:val="0"/>
        <w:adjustRightInd/>
        <w:snapToGrid/>
        <w:spacing w:line="520" w:lineRule="exact"/>
        <w:ind w:firstLine="64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为广泛征求各方意见，</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起</w:t>
      </w:r>
      <w:r>
        <w:rPr>
          <w:rFonts w:hint="default" w:ascii="Times New Roman" w:hAnsi="Times New Roman" w:eastAsia="方正仿宋_GBK" w:cs="Times New Roman"/>
          <w:sz w:val="32"/>
          <w:szCs w:val="32"/>
          <w:highlight w:val="none"/>
        </w:rPr>
        <w:t>，起草小组</w:t>
      </w:r>
      <w:r>
        <w:rPr>
          <w:rFonts w:hint="default" w:ascii="Times New Roman" w:hAnsi="Times New Roman" w:eastAsia="方正仿宋_GBK" w:cs="Times New Roman"/>
          <w:sz w:val="32"/>
          <w:szCs w:val="32"/>
          <w:highlight w:val="none"/>
          <w:lang w:val="en-US" w:eastAsia="zh-CN"/>
        </w:rPr>
        <w:t>深入我市各县市区，组织辖区内备案主体和代理机构开展标准草案的宣贯和意见征求工作</w:t>
      </w:r>
      <w:r>
        <w:rPr>
          <w:rFonts w:hint="default" w:ascii="Times New Roman" w:hAnsi="Times New Roman" w:eastAsia="方正仿宋_GBK" w:cs="Times New Roman"/>
          <w:sz w:val="32"/>
          <w:szCs w:val="32"/>
          <w:highlight w:val="none"/>
        </w:rPr>
        <w:t>。根据</w:t>
      </w:r>
      <w:r>
        <w:rPr>
          <w:rFonts w:hint="default" w:ascii="Times New Roman" w:hAnsi="Times New Roman" w:eastAsia="方正仿宋_GBK" w:cs="Times New Roman"/>
          <w:sz w:val="32"/>
          <w:szCs w:val="32"/>
          <w:highlight w:val="none"/>
          <w:lang w:val="en-US" w:eastAsia="zh-CN"/>
        </w:rPr>
        <w:t>相关单位意见反馈</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编写小组对标准进行了修改完善。为进一步论证标准内容的科学性和适用性，</w:t>
      </w:r>
      <w:r>
        <w:rPr>
          <w:rFonts w:hint="default" w:ascii="Times New Roman" w:hAnsi="Times New Roman" w:eastAsia="方正仿宋_GBK" w:cs="Times New Roman"/>
          <w:sz w:val="32"/>
          <w:szCs w:val="32"/>
          <w:highlight w:val="none"/>
          <w:lang w:val="en-US" w:eastAsia="zh-CN"/>
        </w:rPr>
        <w:t>7月11日</w:t>
      </w:r>
      <w:r>
        <w:rPr>
          <w:rFonts w:hint="default" w:ascii="Times New Roman" w:hAnsi="Times New Roman" w:eastAsia="方正仿宋_GBK" w:cs="Times New Roman"/>
          <w:sz w:val="32"/>
          <w:szCs w:val="32"/>
          <w:highlight w:val="none"/>
        </w:rPr>
        <w:t>，起草小组</w:t>
      </w:r>
      <w:r>
        <w:rPr>
          <w:rFonts w:hint="default" w:ascii="Times New Roman" w:hAnsi="Times New Roman" w:eastAsia="方正仿宋_GBK" w:cs="Times New Roman"/>
          <w:sz w:val="32"/>
          <w:szCs w:val="32"/>
          <w:highlight w:val="none"/>
          <w:lang w:val="en-US" w:eastAsia="zh-CN"/>
        </w:rPr>
        <w:t>组织</w:t>
      </w:r>
      <w:r>
        <w:rPr>
          <w:rFonts w:hint="default" w:ascii="Times New Roman" w:hAnsi="Times New Roman" w:eastAsia="方正仿宋_GBK" w:cs="Times New Roman"/>
          <w:sz w:val="32"/>
          <w:szCs w:val="32"/>
          <w:highlight w:val="none"/>
        </w:rPr>
        <w:t>相关行政主管部门领导，高校、科研机构专家，知识产权示范企业代表等召开</w:t>
      </w:r>
      <w:r>
        <w:rPr>
          <w:rFonts w:hint="default" w:ascii="Times New Roman" w:hAnsi="Times New Roman" w:eastAsia="方正仿宋_GBK" w:cs="Times New Roman"/>
          <w:sz w:val="32"/>
          <w:szCs w:val="32"/>
          <w:highlight w:val="none"/>
          <w:lang w:val="en-US" w:eastAsia="zh-CN"/>
        </w:rPr>
        <w:t>了</w:t>
      </w:r>
      <w:r>
        <w:rPr>
          <w:rFonts w:hint="default" w:ascii="Times New Roman" w:hAnsi="Times New Roman" w:eastAsia="方正仿宋_GBK" w:cs="Times New Roman"/>
          <w:sz w:val="32"/>
          <w:szCs w:val="32"/>
          <w:highlight w:val="none"/>
        </w:rPr>
        <w:t>推进两项地方标准制定工作交流座谈会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根据与会代表和专家意见，</w:t>
      </w:r>
      <w:r>
        <w:rPr>
          <w:rFonts w:hint="default" w:ascii="Times New Roman" w:hAnsi="Times New Roman" w:eastAsia="方正仿宋_GBK" w:cs="Times New Roman"/>
          <w:sz w:val="32"/>
          <w:szCs w:val="32"/>
          <w:highlight w:val="none"/>
        </w:rPr>
        <w:t>对标准内容进行了修改。</w:t>
      </w:r>
      <w:r>
        <w:rPr>
          <w:rFonts w:hint="eastAsia" w:eastAsia="方正仿宋_GBK" w:cs="Times New Roman"/>
          <w:sz w:val="32"/>
          <w:szCs w:val="32"/>
          <w:highlight w:val="none"/>
          <w:lang w:val="en-US" w:eastAsia="zh-CN"/>
        </w:rPr>
        <w:t>9月2日，南通市市场监督管理局标准化处组织专家进行评审，结合专家意见做好修改并</w:t>
      </w:r>
      <w:r>
        <w:rPr>
          <w:rFonts w:hint="default" w:ascii="Times New Roman" w:hAnsi="Times New Roman" w:eastAsia="方正仿宋_GBK" w:cs="Times New Roman"/>
          <w:sz w:val="32"/>
          <w:szCs w:val="32"/>
          <w:highlight w:val="none"/>
        </w:rPr>
        <w:t>形成标准</w:t>
      </w:r>
      <w:r>
        <w:rPr>
          <w:rFonts w:hint="eastAsia" w:eastAsia="方正仿宋_GBK" w:cs="Times New Roman"/>
          <w:sz w:val="32"/>
          <w:szCs w:val="32"/>
          <w:highlight w:val="none"/>
          <w:lang w:val="en-US" w:eastAsia="zh-CN"/>
        </w:rPr>
        <w:t>终</w:t>
      </w:r>
      <w:r>
        <w:rPr>
          <w:rFonts w:hint="default" w:ascii="Times New Roman" w:hAnsi="Times New Roman" w:eastAsia="方正仿宋_GBK" w:cs="Times New Roman"/>
          <w:sz w:val="32"/>
          <w:szCs w:val="32"/>
          <w:highlight w:val="none"/>
        </w:rPr>
        <w:t>稿</w:t>
      </w:r>
      <w:r>
        <w:rPr>
          <w:rFonts w:hint="eastAsia" w:eastAsia="方正仿宋_GBK" w:cs="Times New Roman"/>
          <w:sz w:val="32"/>
          <w:szCs w:val="32"/>
          <w:highlight w:val="none"/>
          <w:lang w:eastAsia="zh-CN"/>
        </w:rPr>
        <w:t>。</w:t>
      </w:r>
    </w:p>
    <w:p w14:paraId="299310C5">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方正黑体_GBK" w:eastAsia="方正黑体_GBK"/>
          <w:sz w:val="32"/>
          <w:szCs w:val="32"/>
          <w:highlight w:val="none"/>
        </w:rPr>
      </w:pPr>
      <w:r>
        <w:rPr>
          <w:rFonts w:ascii="方正黑体_GBK" w:eastAsia="方正黑体_GBK"/>
          <w:sz w:val="32"/>
          <w:szCs w:val="32"/>
          <w:highlight w:val="none"/>
        </w:rPr>
        <w:t>四、标准编制原则和地方标准主要内容的确定依据</w:t>
      </w:r>
    </w:p>
    <w:p w14:paraId="2E47A1E7">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（一）标准编制原则</w:t>
      </w:r>
    </w:p>
    <w:p w14:paraId="6A5C944E">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《企业类备案主体专利申请预审服务与管理规范》在起草过程中遵循“实用性、统一性”的原则，严格按照GB/T 1.1-2020《标准化工作导则—第1部分：标准化文件的结构和起草规则》的要求编写，在编写过程中注重标准的指导性、合理性和操作性。</w:t>
      </w:r>
    </w:p>
    <w:p w14:paraId="4B6C393C">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（二）主要内容确定</w:t>
      </w:r>
    </w:p>
    <w:p w14:paraId="2A0E8651">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企业类备案主体专利申请预审服务与管理规范主要内容如下：</w:t>
      </w:r>
    </w:p>
    <w:p w14:paraId="13B0BAC6">
      <w:pPr>
        <w:pStyle w:val="2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200"/>
        <w:textAlignment w:val="auto"/>
        <w:rPr>
          <w:rFonts w:hint="default" w:ascii="Times New Roman" w:hAnsi="Times New Roman" w:eastAsia="方正仿宋_GBK" w:cs="Times New Roman"/>
          <w:kern w:val="2"/>
          <w:sz w:val="32"/>
          <w:szCs w:val="32"/>
          <w:highlight w:val="none"/>
          <w:lang w:val="en-US" w:eastAsia="zh-CN" w:bidi="ar-SA"/>
        </w:rPr>
      </w:pPr>
      <w:bookmarkStart w:id="0" w:name="_Toc24884211"/>
      <w:bookmarkStart w:id="1" w:name="_Toc26986771"/>
      <w:bookmarkStart w:id="2" w:name="_Toc24884218"/>
      <w:bookmarkStart w:id="3" w:name="_Toc17233325"/>
      <w:bookmarkStart w:id="4" w:name="_Toc26648465"/>
      <w:bookmarkStart w:id="5" w:name="_Toc26986530"/>
      <w:bookmarkStart w:id="6" w:name="_Toc26718930"/>
      <w:bookmarkStart w:id="7" w:name="_Toc17233333"/>
      <w:r>
        <w:rPr>
          <w:rFonts w:hint="default" w:ascii="Times New Roman" w:hAnsi="Times New Roman" w:eastAsia="方正仿宋_GBK" w:cs="Times New Roman"/>
          <w:kern w:val="2"/>
          <w:sz w:val="32"/>
          <w:szCs w:val="32"/>
          <w:highlight w:val="none"/>
          <w:lang w:val="en-US" w:eastAsia="zh-CN" w:bidi="ar-SA"/>
        </w:rPr>
        <w:t>1、范围</w:t>
      </w:r>
      <w:bookmarkEnd w:id="0"/>
      <w:bookmarkEnd w:id="1"/>
      <w:bookmarkEnd w:id="2"/>
      <w:bookmarkEnd w:id="3"/>
      <w:bookmarkEnd w:id="4"/>
      <w:bookmarkEnd w:id="5"/>
      <w:bookmarkEnd w:id="6"/>
      <w:bookmarkEnd w:id="7"/>
    </w:p>
    <w:p w14:paraId="6BBECF3D">
      <w:pPr>
        <w:pStyle w:val="2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200"/>
        <w:textAlignment w:val="auto"/>
        <w:rPr>
          <w:rFonts w:hint="default" w:ascii="Times New Roman" w:hAnsi="Times New Roman" w:eastAsia="方正仿宋_GBK" w:cs="Times New Roman"/>
          <w:kern w:val="2"/>
          <w:sz w:val="32"/>
          <w:szCs w:val="32"/>
          <w:highlight w:val="none"/>
          <w:lang w:val="en-US" w:eastAsia="zh-CN" w:bidi="ar-SA"/>
        </w:rPr>
      </w:pPr>
      <w:bookmarkStart w:id="8" w:name="_Toc26718931"/>
      <w:bookmarkStart w:id="9" w:name="_Toc26986531"/>
      <w:bookmarkStart w:id="10" w:name="_Toc26986772"/>
      <w:r>
        <w:rPr>
          <w:rFonts w:hint="default" w:ascii="Times New Roman" w:hAnsi="Times New Roman" w:eastAsia="方正仿宋_GBK" w:cs="Times New Roman"/>
          <w:kern w:val="2"/>
          <w:sz w:val="32"/>
          <w:szCs w:val="32"/>
          <w:highlight w:val="none"/>
          <w:lang w:val="en-US" w:eastAsia="zh-CN" w:bidi="ar-SA"/>
        </w:rPr>
        <w:t>2、规范性引用文件</w:t>
      </w:r>
      <w:bookmarkEnd w:id="8"/>
      <w:bookmarkEnd w:id="9"/>
      <w:bookmarkEnd w:id="10"/>
    </w:p>
    <w:p w14:paraId="08355FE7">
      <w:pPr>
        <w:pStyle w:val="2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3、术语和定义</w:t>
      </w:r>
    </w:p>
    <w:p w14:paraId="67EC350A">
      <w:pPr>
        <w:pStyle w:val="2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w:t>
      </w:r>
      <w:r>
        <w:rPr>
          <w:rFonts w:hint="eastAsia" w:ascii="Times New Roman" w:eastAsia="方正仿宋_GBK" w:cs="Times New Roman"/>
          <w:kern w:val="2"/>
          <w:sz w:val="32"/>
          <w:szCs w:val="32"/>
          <w:highlight w:val="none"/>
          <w:lang w:val="en-US" w:eastAsia="zh-CN" w:bidi="ar-SA"/>
        </w:rPr>
        <w:t>主体</w:t>
      </w:r>
      <w:r>
        <w:rPr>
          <w:rFonts w:hint="default" w:ascii="Times New Roman" w:hAnsi="Times New Roman" w:eastAsia="方正仿宋_GBK" w:cs="Times New Roman"/>
          <w:kern w:val="2"/>
          <w:sz w:val="32"/>
          <w:szCs w:val="32"/>
          <w:highlight w:val="none"/>
          <w:lang w:val="en-US" w:eastAsia="zh-CN" w:bidi="ar-SA"/>
        </w:rPr>
        <w:t>备案</w:t>
      </w:r>
    </w:p>
    <w:p w14:paraId="180E7AB6">
      <w:pPr>
        <w:pStyle w:val="2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5、预审流程</w:t>
      </w:r>
      <w:r>
        <w:rPr>
          <w:rFonts w:hint="eastAsia" w:ascii="Times New Roman" w:eastAsia="方正仿宋_GBK" w:cs="Times New Roman"/>
          <w:kern w:val="2"/>
          <w:sz w:val="32"/>
          <w:szCs w:val="32"/>
          <w:highlight w:val="none"/>
          <w:lang w:val="en-US" w:eastAsia="zh-CN" w:bidi="ar-SA"/>
        </w:rPr>
        <w:t>与要求</w:t>
      </w:r>
    </w:p>
    <w:p w14:paraId="393D31D3">
      <w:pPr>
        <w:pStyle w:val="2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6、预审</w:t>
      </w:r>
      <w:r>
        <w:rPr>
          <w:rFonts w:hint="eastAsia" w:ascii="Times New Roman" w:eastAsia="方正仿宋_GBK" w:cs="Times New Roman"/>
          <w:kern w:val="2"/>
          <w:sz w:val="32"/>
          <w:szCs w:val="32"/>
          <w:highlight w:val="none"/>
          <w:lang w:val="en-US" w:eastAsia="zh-CN" w:bidi="ar-SA"/>
        </w:rPr>
        <w:t>管理</w:t>
      </w:r>
    </w:p>
    <w:p w14:paraId="5FA29605">
      <w:pPr>
        <w:pStyle w:val="2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7、评价与改进</w:t>
      </w:r>
    </w:p>
    <w:p w14:paraId="05962C53">
      <w:pPr>
        <w:keepNext w:val="0"/>
        <w:keepLines w:val="0"/>
        <w:pageBreakBefore w:val="0"/>
        <w:widowControl w:val="0"/>
        <w:numPr>
          <w:ilvl w:val="0"/>
          <w:numId w:val="2"/>
        </w:numPr>
        <w:shd w:val="clear"/>
        <w:kinsoku/>
        <w:wordWrap/>
        <w:overflowPunct/>
        <w:topLinePunct w:val="0"/>
        <w:autoSpaceDE/>
        <w:autoSpaceDN/>
        <w:bidi w:val="0"/>
        <w:adjustRightInd/>
        <w:snapToGrid/>
        <w:spacing w:line="520" w:lineRule="exact"/>
        <w:ind w:firstLine="640" w:firstLineChars="200"/>
        <w:textAlignment w:val="auto"/>
        <w:rPr>
          <w:rFonts w:ascii="方正黑体_GBK" w:eastAsia="方正黑体_GBK"/>
          <w:sz w:val="32"/>
          <w:szCs w:val="32"/>
          <w:highlight w:val="none"/>
        </w:rPr>
      </w:pPr>
      <w:r>
        <w:rPr>
          <w:rFonts w:ascii="方正黑体_GBK" w:eastAsia="方正黑体_GBK"/>
          <w:sz w:val="32"/>
          <w:szCs w:val="32"/>
          <w:highlight w:val="none"/>
        </w:rPr>
        <w:t>重大意见分歧的处理依据和结果</w:t>
      </w:r>
    </w:p>
    <w:p w14:paraId="2077AD6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方正黑体_GBK" w:eastAsia="方正黑体_GBK"/>
          <w:sz w:val="32"/>
          <w:szCs w:val="32"/>
          <w:highlight w:val="none"/>
        </w:rPr>
      </w:pPr>
      <w:r>
        <w:rPr>
          <w:rFonts w:hint="eastAsia" w:eastAsia="方正仿宋_GBK"/>
          <w:kern w:val="0"/>
          <w:sz w:val="32"/>
          <w:szCs w:val="32"/>
          <w:highlight w:val="none"/>
          <w:shd w:val="clear" w:color="auto" w:fill="FFFFFF"/>
          <w:lang w:val="en-US" w:eastAsia="zh-CN" w:bidi="ar"/>
        </w:rPr>
        <w:t>本标准</w:t>
      </w:r>
      <w:r>
        <w:rPr>
          <w:rFonts w:hint="eastAsia" w:eastAsia="方正仿宋_GBK"/>
          <w:kern w:val="0"/>
          <w:sz w:val="32"/>
          <w:szCs w:val="32"/>
          <w:highlight w:val="none"/>
          <w:shd w:val="clear" w:color="auto" w:fill="FFFFFF"/>
          <w:lang w:bidi="ar"/>
        </w:rPr>
        <w:t>征求意见</w:t>
      </w:r>
      <w:r>
        <w:rPr>
          <w:rFonts w:hint="eastAsia" w:eastAsia="方正仿宋_GBK"/>
          <w:kern w:val="0"/>
          <w:sz w:val="32"/>
          <w:szCs w:val="32"/>
          <w:highlight w:val="none"/>
          <w:shd w:val="clear" w:color="auto" w:fill="FFFFFF"/>
          <w:lang w:val="en-US" w:eastAsia="zh-CN" w:bidi="ar"/>
        </w:rPr>
        <w:t>过程中</w:t>
      </w:r>
      <w:r>
        <w:rPr>
          <w:rFonts w:hint="eastAsia" w:eastAsia="方正仿宋_GBK"/>
          <w:kern w:val="0"/>
          <w:sz w:val="32"/>
          <w:szCs w:val="32"/>
          <w:highlight w:val="none"/>
          <w:shd w:val="clear" w:color="auto" w:fill="FFFFFF"/>
          <w:lang w:bidi="ar"/>
        </w:rPr>
        <w:t>无重大分歧和意见，</w:t>
      </w:r>
      <w:r>
        <w:rPr>
          <w:rFonts w:hint="eastAsia" w:eastAsia="方正仿宋_GBK"/>
          <w:kern w:val="0"/>
          <w:sz w:val="32"/>
          <w:szCs w:val="32"/>
          <w:highlight w:val="none"/>
          <w:shd w:val="clear" w:color="auto" w:fill="FFFFFF"/>
          <w:lang w:val="en-US" w:eastAsia="zh-CN" w:bidi="ar"/>
        </w:rPr>
        <w:t>部分标题及言语表述已在征求意见过程中及时修改</w:t>
      </w:r>
      <w:r>
        <w:rPr>
          <w:rFonts w:hint="eastAsia" w:eastAsia="方正仿宋_GBK"/>
          <w:kern w:val="0"/>
          <w:sz w:val="32"/>
          <w:szCs w:val="32"/>
          <w:highlight w:val="none"/>
          <w:shd w:val="clear" w:color="auto" w:fill="FFFFFF"/>
          <w:lang w:bidi="ar"/>
        </w:rPr>
        <w:t>。</w:t>
      </w:r>
    </w:p>
    <w:p w14:paraId="61412E05">
      <w:pPr>
        <w:keepNext w:val="0"/>
        <w:keepLines w:val="0"/>
        <w:pageBreakBefore w:val="0"/>
        <w:widowControl w:val="0"/>
        <w:numPr>
          <w:ilvl w:val="0"/>
          <w:numId w:val="2"/>
        </w:numPr>
        <w:shd w:val="clear"/>
        <w:kinsoku/>
        <w:wordWrap/>
        <w:overflowPunct/>
        <w:topLinePunct w:val="0"/>
        <w:autoSpaceDE/>
        <w:autoSpaceDN/>
        <w:bidi w:val="0"/>
        <w:adjustRightInd/>
        <w:snapToGrid/>
        <w:spacing w:line="520" w:lineRule="exact"/>
        <w:ind w:firstLine="640" w:firstLineChars="200"/>
        <w:textAlignment w:val="auto"/>
        <w:rPr>
          <w:rFonts w:ascii="方正黑体_GBK" w:eastAsia="方正黑体_GBK"/>
          <w:sz w:val="32"/>
          <w:szCs w:val="32"/>
          <w:highlight w:val="none"/>
        </w:rPr>
      </w:pPr>
      <w:r>
        <w:rPr>
          <w:rFonts w:ascii="方正黑体_GBK" w:eastAsia="方正黑体_GBK"/>
          <w:sz w:val="32"/>
          <w:szCs w:val="32"/>
          <w:highlight w:val="none"/>
        </w:rPr>
        <w:t>与相关法律法规和标准的关系</w:t>
      </w:r>
    </w:p>
    <w:p w14:paraId="170921C5">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w:t>
      </w:r>
      <w:r>
        <w:rPr>
          <w:rFonts w:hint="eastAsia" w:ascii="Times New Roman" w:hAnsi="Times New Roman" w:eastAsia="方正仿宋_GBK" w:cs="Times New Roman"/>
          <w:sz w:val="32"/>
          <w:szCs w:val="32"/>
          <w:highlight w:val="none"/>
          <w:lang w:val="en-US" w:eastAsia="zh-CN"/>
        </w:rPr>
        <w:t>标准</w:t>
      </w:r>
      <w:r>
        <w:rPr>
          <w:rFonts w:hint="default" w:ascii="Times New Roman" w:hAnsi="Times New Roman" w:eastAsia="方正仿宋_GBK" w:cs="Times New Roman"/>
          <w:sz w:val="32"/>
          <w:szCs w:val="32"/>
          <w:highlight w:val="none"/>
        </w:rPr>
        <w:t>所有条款均符合相关法律法规和强制性国家标准。参考和引用标准：</w:t>
      </w:r>
    </w:p>
    <w:p w14:paraId="2C8398C8">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宋体" w:cs="Times New Roman"/>
          <w:color w:val="000000"/>
          <w:sz w:val="32"/>
          <w:szCs w:val="32"/>
          <w:highlight w:val="none"/>
          <w:lang w:val="en-US" w:eastAsia="zh-CN"/>
        </w:rPr>
        <w:t>1、</w:t>
      </w:r>
      <w:r>
        <w:rPr>
          <w:rFonts w:hint="default" w:ascii="Times New Roman" w:hAnsi="Times New Roman" w:eastAsia="方正仿宋_GBK" w:cs="Times New Roman"/>
          <w:sz w:val="32"/>
          <w:szCs w:val="32"/>
          <w:highlight w:val="none"/>
        </w:rPr>
        <w:t>GB/T 1.1-2020 标准化工作导则</w:t>
      </w:r>
    </w:p>
    <w:p w14:paraId="1C093838">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、DB32/T 4157-2021 专利申请预审规范</w:t>
      </w:r>
    </w:p>
    <w:p w14:paraId="205F67C3">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、DB3212/T 1143-2023 备案主体专利申请预审服务与管理规范</w:t>
      </w:r>
    </w:p>
    <w:p w14:paraId="43E757BE">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方正黑体_GBK" w:eastAsia="方正黑体_GBK"/>
          <w:sz w:val="32"/>
          <w:szCs w:val="32"/>
          <w:highlight w:val="none"/>
        </w:rPr>
      </w:pPr>
      <w:r>
        <w:rPr>
          <w:rFonts w:ascii="方正黑体_GBK" w:eastAsia="方正黑体_GBK"/>
          <w:sz w:val="32"/>
          <w:szCs w:val="32"/>
          <w:highlight w:val="none"/>
        </w:rPr>
        <w:t>七、实施推广建议</w:t>
      </w:r>
    </w:p>
    <w:p w14:paraId="1836CDA4">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eastAsia="方正仿宋_GBK"/>
          <w:sz w:val="32"/>
          <w:szCs w:val="32"/>
          <w:highlight w:val="none"/>
          <w:lang w:val="en-US" w:eastAsia="zh-CN"/>
        </w:rPr>
      </w:pPr>
      <w:r>
        <w:rPr>
          <w:rFonts w:hint="eastAsia" w:eastAsia="方正仿宋_GBK"/>
          <w:sz w:val="32"/>
          <w:szCs w:val="32"/>
          <w:highlight w:val="none"/>
        </w:rPr>
        <w:t>本</w:t>
      </w:r>
      <w:r>
        <w:rPr>
          <w:rFonts w:hint="eastAsia" w:eastAsia="方正仿宋_GBK"/>
          <w:sz w:val="32"/>
          <w:szCs w:val="32"/>
          <w:highlight w:val="none"/>
          <w:lang w:val="en-US" w:eastAsia="zh-CN"/>
        </w:rPr>
        <w:t>标准结合南通专利预审实际，细化了备案要求、评级标准、预审服务、预审流程、备案主体管理、资料管理和评价与改进要求等专利预审环节中所涉及的相关业务要求，有效规范了南通市知识产权保护中心、企业备案主体以及代理机构的工作流程，提高了工作效率。</w:t>
      </w:r>
    </w:p>
    <w:p w14:paraId="632074C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eastAsia="方正仿宋_GBK"/>
          <w:sz w:val="32"/>
          <w:szCs w:val="32"/>
          <w:highlight w:val="none"/>
          <w:lang w:val="en-US" w:eastAsia="zh-CN"/>
        </w:rPr>
      </w:pPr>
      <w:r>
        <w:rPr>
          <w:rFonts w:hint="default" w:eastAsia="方正仿宋_GBK"/>
          <w:sz w:val="32"/>
          <w:szCs w:val="32"/>
          <w:highlight w:val="none"/>
          <w:lang w:val="en-US" w:eastAsia="zh-CN"/>
        </w:rPr>
        <w:t>本</w:t>
      </w:r>
      <w:r>
        <w:rPr>
          <w:rFonts w:hint="eastAsia" w:eastAsia="方正仿宋_GBK"/>
          <w:sz w:val="32"/>
          <w:szCs w:val="32"/>
          <w:highlight w:val="none"/>
          <w:lang w:val="en-US" w:eastAsia="zh-CN"/>
        </w:rPr>
        <w:t>标准</w:t>
      </w:r>
      <w:r>
        <w:rPr>
          <w:rFonts w:hint="default" w:eastAsia="方正仿宋_GBK"/>
          <w:sz w:val="32"/>
          <w:szCs w:val="32"/>
          <w:highlight w:val="none"/>
          <w:lang w:val="en-US" w:eastAsia="zh-CN"/>
        </w:rPr>
        <w:t>正式发布后，</w:t>
      </w:r>
      <w:r>
        <w:rPr>
          <w:rFonts w:hint="eastAsia" w:eastAsia="方正仿宋_GBK"/>
          <w:sz w:val="32"/>
          <w:szCs w:val="32"/>
          <w:highlight w:val="none"/>
          <w:lang w:val="en-US" w:eastAsia="zh-CN"/>
        </w:rPr>
        <w:t>将</w:t>
      </w:r>
      <w:r>
        <w:rPr>
          <w:rFonts w:hint="default" w:eastAsia="方正仿宋_GBK"/>
          <w:sz w:val="32"/>
          <w:szCs w:val="32"/>
          <w:highlight w:val="none"/>
          <w:lang w:val="en-US" w:eastAsia="zh-CN"/>
        </w:rPr>
        <w:t>在南通市</w:t>
      </w:r>
      <w:r>
        <w:rPr>
          <w:rFonts w:hint="eastAsia" w:eastAsia="方正仿宋_GBK"/>
          <w:sz w:val="32"/>
          <w:szCs w:val="32"/>
          <w:highlight w:val="none"/>
          <w:lang w:val="en-US" w:eastAsia="zh-CN"/>
        </w:rPr>
        <w:t>知识产权保护中心</w:t>
      </w:r>
      <w:r>
        <w:rPr>
          <w:rFonts w:hint="default" w:eastAsia="方正仿宋_GBK"/>
          <w:sz w:val="32"/>
          <w:szCs w:val="32"/>
          <w:highlight w:val="none"/>
          <w:lang w:val="en-US" w:eastAsia="zh-CN"/>
        </w:rPr>
        <w:t>微信公众号上进行宣传</w:t>
      </w:r>
      <w:r>
        <w:rPr>
          <w:rFonts w:hint="eastAsia" w:eastAsia="方正仿宋_GBK"/>
          <w:sz w:val="32"/>
          <w:szCs w:val="32"/>
          <w:highlight w:val="none"/>
          <w:lang w:val="en-US" w:eastAsia="zh-CN"/>
        </w:rPr>
        <w:t>。起草单位南通市知识产权保护中心将</w:t>
      </w:r>
      <w:r>
        <w:rPr>
          <w:rFonts w:hint="default" w:eastAsia="方正仿宋_GBK"/>
          <w:sz w:val="32"/>
          <w:szCs w:val="32"/>
          <w:highlight w:val="none"/>
          <w:lang w:val="en-US" w:eastAsia="zh-CN"/>
        </w:rPr>
        <w:t>分期分批</w:t>
      </w:r>
      <w:r>
        <w:rPr>
          <w:rFonts w:hint="eastAsia" w:eastAsia="方正仿宋_GBK"/>
          <w:sz w:val="32"/>
          <w:szCs w:val="32"/>
          <w:highlight w:val="none"/>
          <w:lang w:val="en-US" w:eastAsia="zh-CN"/>
        </w:rPr>
        <w:t>深入我市各县市区，针对知识产权相关从业人员</w:t>
      </w:r>
      <w:r>
        <w:rPr>
          <w:rFonts w:hint="default" w:eastAsia="方正仿宋_GBK"/>
          <w:sz w:val="32"/>
          <w:szCs w:val="32"/>
          <w:highlight w:val="none"/>
          <w:lang w:val="en-US" w:eastAsia="zh-CN"/>
        </w:rPr>
        <w:t>开展</w:t>
      </w:r>
      <w:r>
        <w:rPr>
          <w:rFonts w:hint="eastAsia" w:eastAsia="方正仿宋_GBK"/>
          <w:sz w:val="32"/>
          <w:szCs w:val="32"/>
          <w:highlight w:val="none"/>
          <w:lang w:val="en-US" w:eastAsia="zh-CN"/>
        </w:rPr>
        <w:t>宣贯和培训</w:t>
      </w:r>
      <w:r>
        <w:rPr>
          <w:rFonts w:hint="default" w:eastAsia="方正仿宋_GBK"/>
          <w:sz w:val="32"/>
          <w:szCs w:val="32"/>
          <w:highlight w:val="none"/>
          <w:lang w:val="en-US" w:eastAsia="zh-CN"/>
        </w:rPr>
        <w:t>。</w:t>
      </w:r>
    </w:p>
    <w:p w14:paraId="2D5E7D25">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eastAsia="方正仿宋_GBK"/>
          <w:sz w:val="32"/>
          <w:szCs w:val="32"/>
          <w:highlight w:val="none"/>
          <w:lang w:val="en-US" w:eastAsia="zh-CN"/>
        </w:rPr>
      </w:pPr>
      <w:r>
        <w:rPr>
          <w:rFonts w:hint="eastAsia" w:eastAsia="方正仿宋_GBK"/>
          <w:sz w:val="32"/>
          <w:szCs w:val="32"/>
          <w:highlight w:val="none"/>
          <w:lang w:val="en-US" w:eastAsia="zh-CN"/>
        </w:rPr>
        <w:t>各备案主体和代理机构</w:t>
      </w:r>
      <w:r>
        <w:rPr>
          <w:rFonts w:hint="default" w:eastAsia="方正仿宋_GBK"/>
          <w:sz w:val="32"/>
          <w:szCs w:val="32"/>
          <w:highlight w:val="none"/>
          <w:lang w:val="en-US" w:eastAsia="zh-CN"/>
        </w:rPr>
        <w:t>应严格贯彻执行本</w:t>
      </w:r>
      <w:r>
        <w:rPr>
          <w:rFonts w:hint="eastAsia" w:eastAsia="方正仿宋_GBK"/>
          <w:sz w:val="32"/>
          <w:szCs w:val="32"/>
          <w:highlight w:val="none"/>
          <w:lang w:val="en-US" w:eastAsia="zh-CN"/>
        </w:rPr>
        <w:t>规范</w:t>
      </w:r>
      <w:r>
        <w:rPr>
          <w:rFonts w:hint="default" w:eastAsia="方正仿宋_GBK"/>
          <w:sz w:val="32"/>
          <w:szCs w:val="32"/>
          <w:highlight w:val="none"/>
          <w:lang w:val="en-US" w:eastAsia="zh-CN"/>
        </w:rPr>
        <w:t>，落实好各项相关条款</w:t>
      </w:r>
      <w:r>
        <w:rPr>
          <w:rFonts w:hint="eastAsia" w:eastAsia="方正仿宋_GBK"/>
          <w:sz w:val="32"/>
          <w:szCs w:val="32"/>
          <w:highlight w:val="none"/>
          <w:lang w:val="en-US" w:eastAsia="zh-CN"/>
        </w:rPr>
        <w:t>，执行过程中如有意见建议需及时与起草单位南通市知识产权保护中心沟通。</w:t>
      </w:r>
    </w:p>
    <w:p w14:paraId="2432F75F">
      <w:pPr>
        <w:keepNext w:val="0"/>
        <w:keepLines w:val="0"/>
        <w:pageBreakBefore w:val="0"/>
        <w:widowControl w:val="0"/>
        <w:numPr>
          <w:ilvl w:val="0"/>
          <w:numId w:val="3"/>
        </w:numPr>
        <w:shd w:val="clear"/>
        <w:kinsoku/>
        <w:wordWrap/>
        <w:overflowPunct/>
        <w:topLinePunct w:val="0"/>
        <w:autoSpaceDE/>
        <w:autoSpaceDN/>
        <w:bidi w:val="0"/>
        <w:adjustRightInd/>
        <w:snapToGrid/>
        <w:spacing w:line="520" w:lineRule="exact"/>
        <w:ind w:firstLine="640" w:firstLineChars="200"/>
        <w:textAlignment w:val="auto"/>
        <w:rPr>
          <w:rFonts w:ascii="方正黑体_GBK" w:eastAsia="方正黑体_GBK"/>
          <w:sz w:val="32"/>
          <w:szCs w:val="32"/>
          <w:highlight w:val="none"/>
        </w:rPr>
      </w:pPr>
      <w:r>
        <w:rPr>
          <w:rFonts w:ascii="方正黑体_GBK" w:eastAsia="方正黑体_GBK"/>
          <w:sz w:val="32"/>
          <w:szCs w:val="32"/>
          <w:highlight w:val="none"/>
        </w:rPr>
        <w:t>其他应当说明的事项</w:t>
      </w:r>
    </w:p>
    <w:p w14:paraId="70883D36">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6"/>
          <w:szCs w:val="30"/>
          <w:highlight w:val="none"/>
        </w:rPr>
      </w:pPr>
      <w:r>
        <w:rPr>
          <w:rFonts w:hint="eastAsia" w:eastAsia="方正仿宋_GBK"/>
          <w:kern w:val="0"/>
          <w:sz w:val="32"/>
          <w:szCs w:val="32"/>
          <w:highlight w:val="none"/>
          <w:shd w:val="clear" w:color="auto" w:fill="FFFFFF"/>
          <w:lang w:val="en-US" w:eastAsia="zh-CN" w:bidi="ar"/>
        </w:rPr>
        <w:t>无。</w:t>
      </w:r>
    </w:p>
    <w:sectPr>
      <w:footerReference r:id="rId3" w:type="default"/>
      <w:footerReference r:id="rId4" w:type="even"/>
      <w:pgSz w:w="11906" w:h="16838"/>
      <w:pgMar w:top="1134" w:right="1134" w:bottom="1134" w:left="1134" w:header="851" w:footer="1134"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1" w:fontKey="{DDEB7B4E-89DD-4A8C-B7C8-B871C6DAED0A}"/>
  </w:font>
  <w:font w:name="方正仿宋_GBK">
    <w:panose1 w:val="02000000000000000000"/>
    <w:charset w:val="86"/>
    <w:family w:val="script"/>
    <w:pitch w:val="default"/>
    <w:sig w:usb0="00000001" w:usb1="080E0000" w:usb2="00000000" w:usb3="00000000" w:csb0="00040000" w:csb1="00000000"/>
    <w:embedRegular r:id="rId2" w:fontKey="{E35A250A-FE53-4AC1-85E3-81DE2D2BCA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C8E0">
    <w:pPr>
      <w:pStyle w:val="5"/>
      <w:ind w:firstLine="8730" w:firstLineChars="48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79C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C9B1F28">
                          <w:pPr>
                            <w:pStyle w:val="5"/>
                          </w:pPr>
                          <w:r>
                            <w:rPr>
                              <w:rFonts w:hint="eastAsia"/>
                              <w:kern w:val="0"/>
                              <w:sz w:val="28"/>
                              <w:szCs w:val="28"/>
                            </w:rPr>
                            <w:t>—</w:t>
                          </w:r>
                          <w:r>
                            <w:rPr>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1</w:t>
                          </w:r>
                          <w:r>
                            <w:rPr>
                              <w:rFonts w:ascii="Times New Roman" w:hAnsi="Times New Roman" w:cs="Times New Roman"/>
                              <w:kern w:val="0"/>
                              <w:sz w:val="28"/>
                              <w:szCs w:val="28"/>
                            </w:rPr>
                            <w:fldChar w:fldCharType="end"/>
                          </w:r>
                          <w:r>
                            <w:rPr>
                              <w:kern w:val="0"/>
                              <w:sz w:val="28"/>
                              <w:szCs w:val="28"/>
                            </w:rPr>
                            <w:t xml:space="preserve"> </w:t>
                          </w:r>
                          <w:r>
                            <w:rPr>
                              <w:rFonts w:hint="eastAsia"/>
                              <w:kern w:val="0"/>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7C9B1F28">
                    <w:pPr>
                      <w:pStyle w:val="5"/>
                    </w:pPr>
                    <w:r>
                      <w:rPr>
                        <w:rFonts w:hint="eastAsia"/>
                        <w:kern w:val="0"/>
                        <w:sz w:val="28"/>
                        <w:szCs w:val="28"/>
                      </w:rPr>
                      <w:t>—</w:t>
                    </w:r>
                    <w:r>
                      <w:rPr>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1</w:t>
                    </w:r>
                    <w:r>
                      <w:rPr>
                        <w:rFonts w:ascii="Times New Roman" w:hAnsi="Times New Roman" w:cs="Times New Roman"/>
                        <w:kern w:val="0"/>
                        <w:sz w:val="28"/>
                        <w:szCs w:val="28"/>
                      </w:rPr>
                      <w:fldChar w:fldCharType="end"/>
                    </w:r>
                    <w:r>
                      <w:rPr>
                        <w:kern w:val="0"/>
                        <w:sz w:val="28"/>
                        <w:szCs w:val="28"/>
                      </w:rPr>
                      <w:t xml:space="preserve"> </w:t>
                    </w:r>
                    <w:r>
                      <w:rPr>
                        <w:rFonts w:hint="eastAsia"/>
                        <w:kern w:val="0"/>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C36D5"/>
    <w:multiLevelType w:val="singleLevel"/>
    <w:tmpl w:val="B4FC36D5"/>
    <w:lvl w:ilvl="0" w:tentative="0">
      <w:start w:val="5"/>
      <w:numFmt w:val="chineseCounting"/>
      <w:suff w:val="nothing"/>
      <w:lvlText w:val="%1、"/>
      <w:lvlJc w:val="left"/>
      <w:rPr>
        <w:rFonts w:hint="eastAsia"/>
      </w:rPr>
    </w:lvl>
  </w:abstractNum>
  <w:abstractNum w:abstractNumId="1">
    <w:nsid w:val="659CD123"/>
    <w:multiLevelType w:val="singleLevel"/>
    <w:tmpl w:val="659CD123"/>
    <w:lvl w:ilvl="0" w:tentative="0">
      <w:start w:val="8"/>
      <w:numFmt w:val="chineseCounting"/>
      <w:suff w:val="nothing"/>
      <w:lvlText w:val="%1、"/>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zJlZjM2ZWY4NDI2M2U1YmRhMzRjYTJlYTc5MmUifQ=="/>
    <w:docVar w:name="KSO_WPS_MARK_KEY" w:val="3addbff3-1dbb-49a0-8053-b9b5089d264d"/>
  </w:docVars>
  <w:rsids>
    <w:rsidRoot w:val="00F0352D"/>
    <w:rsid w:val="00000005"/>
    <w:rsid w:val="00016F1A"/>
    <w:rsid w:val="00047FCF"/>
    <w:rsid w:val="00075B4C"/>
    <w:rsid w:val="0008020F"/>
    <w:rsid w:val="000A1668"/>
    <w:rsid w:val="000C33A9"/>
    <w:rsid w:val="000E2EEA"/>
    <w:rsid w:val="000F1F07"/>
    <w:rsid w:val="000F7682"/>
    <w:rsid w:val="00146765"/>
    <w:rsid w:val="00171361"/>
    <w:rsid w:val="001B0F31"/>
    <w:rsid w:val="001B32D7"/>
    <w:rsid w:val="001B4D09"/>
    <w:rsid w:val="001E6338"/>
    <w:rsid w:val="001F2E90"/>
    <w:rsid w:val="002019F3"/>
    <w:rsid w:val="00254D8D"/>
    <w:rsid w:val="002C78A9"/>
    <w:rsid w:val="002E3BA2"/>
    <w:rsid w:val="00316CE6"/>
    <w:rsid w:val="00367683"/>
    <w:rsid w:val="00386569"/>
    <w:rsid w:val="0039650B"/>
    <w:rsid w:val="003B25CB"/>
    <w:rsid w:val="003C5FCA"/>
    <w:rsid w:val="003E6E27"/>
    <w:rsid w:val="003E73CE"/>
    <w:rsid w:val="00402338"/>
    <w:rsid w:val="00415CA9"/>
    <w:rsid w:val="00445A48"/>
    <w:rsid w:val="00446343"/>
    <w:rsid w:val="0045111E"/>
    <w:rsid w:val="00472030"/>
    <w:rsid w:val="004833F7"/>
    <w:rsid w:val="004A6C47"/>
    <w:rsid w:val="004A7BF6"/>
    <w:rsid w:val="004E3A38"/>
    <w:rsid w:val="005536AE"/>
    <w:rsid w:val="00565FA9"/>
    <w:rsid w:val="00567A15"/>
    <w:rsid w:val="0057523F"/>
    <w:rsid w:val="00575B9B"/>
    <w:rsid w:val="00582647"/>
    <w:rsid w:val="005C6D22"/>
    <w:rsid w:val="005E7376"/>
    <w:rsid w:val="00630255"/>
    <w:rsid w:val="00664497"/>
    <w:rsid w:val="0069524E"/>
    <w:rsid w:val="006C70E5"/>
    <w:rsid w:val="00750272"/>
    <w:rsid w:val="007642FA"/>
    <w:rsid w:val="0076513B"/>
    <w:rsid w:val="00775586"/>
    <w:rsid w:val="007D520B"/>
    <w:rsid w:val="007D6AE4"/>
    <w:rsid w:val="008001F8"/>
    <w:rsid w:val="00800549"/>
    <w:rsid w:val="00852B9C"/>
    <w:rsid w:val="00881953"/>
    <w:rsid w:val="008A2E7E"/>
    <w:rsid w:val="008A5426"/>
    <w:rsid w:val="008B661A"/>
    <w:rsid w:val="008E6081"/>
    <w:rsid w:val="008F1888"/>
    <w:rsid w:val="0090183D"/>
    <w:rsid w:val="00901D7D"/>
    <w:rsid w:val="00905631"/>
    <w:rsid w:val="00917A5E"/>
    <w:rsid w:val="00927A76"/>
    <w:rsid w:val="00961482"/>
    <w:rsid w:val="009925FB"/>
    <w:rsid w:val="009A78E8"/>
    <w:rsid w:val="009B7C4C"/>
    <w:rsid w:val="009D2A1A"/>
    <w:rsid w:val="009F1ED5"/>
    <w:rsid w:val="009F3A26"/>
    <w:rsid w:val="009F4C53"/>
    <w:rsid w:val="00A07A16"/>
    <w:rsid w:val="00A16633"/>
    <w:rsid w:val="00A44B9B"/>
    <w:rsid w:val="00A54FB4"/>
    <w:rsid w:val="00A61D03"/>
    <w:rsid w:val="00A865AF"/>
    <w:rsid w:val="00A87E66"/>
    <w:rsid w:val="00AB3109"/>
    <w:rsid w:val="00AD5080"/>
    <w:rsid w:val="00B1665E"/>
    <w:rsid w:val="00B61BF8"/>
    <w:rsid w:val="00B65505"/>
    <w:rsid w:val="00B82654"/>
    <w:rsid w:val="00B96999"/>
    <w:rsid w:val="00BA0664"/>
    <w:rsid w:val="00BA49D5"/>
    <w:rsid w:val="00BD6DB6"/>
    <w:rsid w:val="00C31C6A"/>
    <w:rsid w:val="00C42A24"/>
    <w:rsid w:val="00C70A3D"/>
    <w:rsid w:val="00C86D5E"/>
    <w:rsid w:val="00CB3945"/>
    <w:rsid w:val="00CC5A06"/>
    <w:rsid w:val="00CE3F9F"/>
    <w:rsid w:val="00CF1170"/>
    <w:rsid w:val="00D033AE"/>
    <w:rsid w:val="00D1553F"/>
    <w:rsid w:val="00D15DFB"/>
    <w:rsid w:val="00D677C1"/>
    <w:rsid w:val="00D74209"/>
    <w:rsid w:val="00D966DE"/>
    <w:rsid w:val="00D97074"/>
    <w:rsid w:val="00DD3310"/>
    <w:rsid w:val="00DD334B"/>
    <w:rsid w:val="00E55AD1"/>
    <w:rsid w:val="00E65B1E"/>
    <w:rsid w:val="00E91614"/>
    <w:rsid w:val="00EA008D"/>
    <w:rsid w:val="00EB117D"/>
    <w:rsid w:val="00EE16BF"/>
    <w:rsid w:val="00EE5377"/>
    <w:rsid w:val="00EE5E96"/>
    <w:rsid w:val="00F0131B"/>
    <w:rsid w:val="00F0352D"/>
    <w:rsid w:val="00F044D6"/>
    <w:rsid w:val="00F06CD0"/>
    <w:rsid w:val="00F20F7B"/>
    <w:rsid w:val="00F43DBC"/>
    <w:rsid w:val="00F663FD"/>
    <w:rsid w:val="00FA032B"/>
    <w:rsid w:val="00FA1E17"/>
    <w:rsid w:val="00FA2449"/>
    <w:rsid w:val="00FB07E6"/>
    <w:rsid w:val="00FC539B"/>
    <w:rsid w:val="00FD20AF"/>
    <w:rsid w:val="00FF6E0E"/>
    <w:rsid w:val="01292561"/>
    <w:rsid w:val="0169049A"/>
    <w:rsid w:val="044E37A3"/>
    <w:rsid w:val="049951B6"/>
    <w:rsid w:val="04CA4499"/>
    <w:rsid w:val="04D96810"/>
    <w:rsid w:val="05041098"/>
    <w:rsid w:val="053242B0"/>
    <w:rsid w:val="05D47115"/>
    <w:rsid w:val="06734AE4"/>
    <w:rsid w:val="07571DAC"/>
    <w:rsid w:val="078677F4"/>
    <w:rsid w:val="079F5047"/>
    <w:rsid w:val="085829DB"/>
    <w:rsid w:val="08D453DA"/>
    <w:rsid w:val="09F52703"/>
    <w:rsid w:val="0B1C1BCC"/>
    <w:rsid w:val="0BAB093E"/>
    <w:rsid w:val="0D840089"/>
    <w:rsid w:val="0DDA1988"/>
    <w:rsid w:val="0F0F47CF"/>
    <w:rsid w:val="10CC5A1D"/>
    <w:rsid w:val="10DE52EC"/>
    <w:rsid w:val="114809B7"/>
    <w:rsid w:val="116B3023"/>
    <w:rsid w:val="12061B7D"/>
    <w:rsid w:val="12492478"/>
    <w:rsid w:val="13A6414A"/>
    <w:rsid w:val="149E726C"/>
    <w:rsid w:val="14BD3808"/>
    <w:rsid w:val="151903B2"/>
    <w:rsid w:val="15240E40"/>
    <w:rsid w:val="15F630D7"/>
    <w:rsid w:val="16105ED3"/>
    <w:rsid w:val="168D57EA"/>
    <w:rsid w:val="17F00343"/>
    <w:rsid w:val="18220D21"/>
    <w:rsid w:val="19FB0F78"/>
    <w:rsid w:val="1E6855D3"/>
    <w:rsid w:val="1E7828DC"/>
    <w:rsid w:val="1EFA3C38"/>
    <w:rsid w:val="201725C8"/>
    <w:rsid w:val="2038043A"/>
    <w:rsid w:val="20826B60"/>
    <w:rsid w:val="209330CA"/>
    <w:rsid w:val="20F16975"/>
    <w:rsid w:val="22091B7E"/>
    <w:rsid w:val="222A1657"/>
    <w:rsid w:val="232A3E28"/>
    <w:rsid w:val="238910E7"/>
    <w:rsid w:val="2485757A"/>
    <w:rsid w:val="24FD1D8D"/>
    <w:rsid w:val="25001989"/>
    <w:rsid w:val="26577BE4"/>
    <w:rsid w:val="276E6F72"/>
    <w:rsid w:val="28673800"/>
    <w:rsid w:val="2915603F"/>
    <w:rsid w:val="2A8E416D"/>
    <w:rsid w:val="2A8F2502"/>
    <w:rsid w:val="2ADF34B9"/>
    <w:rsid w:val="2B161982"/>
    <w:rsid w:val="2CAF5899"/>
    <w:rsid w:val="2D512E83"/>
    <w:rsid w:val="2DCC0C3C"/>
    <w:rsid w:val="2DD0647A"/>
    <w:rsid w:val="2E334350"/>
    <w:rsid w:val="365F3D3F"/>
    <w:rsid w:val="36DE1179"/>
    <w:rsid w:val="37FE7E9E"/>
    <w:rsid w:val="38776B56"/>
    <w:rsid w:val="38BC7253"/>
    <w:rsid w:val="39533276"/>
    <w:rsid w:val="39893797"/>
    <w:rsid w:val="39B22E20"/>
    <w:rsid w:val="39C53698"/>
    <w:rsid w:val="39E01584"/>
    <w:rsid w:val="3B0752BB"/>
    <w:rsid w:val="3B706EDC"/>
    <w:rsid w:val="3B9E6191"/>
    <w:rsid w:val="3C6B0254"/>
    <w:rsid w:val="3E1C2E2C"/>
    <w:rsid w:val="3FE71217"/>
    <w:rsid w:val="3FF63006"/>
    <w:rsid w:val="40055CC2"/>
    <w:rsid w:val="4118731C"/>
    <w:rsid w:val="41306BEE"/>
    <w:rsid w:val="414B3B2A"/>
    <w:rsid w:val="419D371A"/>
    <w:rsid w:val="438617C7"/>
    <w:rsid w:val="439954D5"/>
    <w:rsid w:val="43B9736F"/>
    <w:rsid w:val="43C006FD"/>
    <w:rsid w:val="44F06DC0"/>
    <w:rsid w:val="463D71DA"/>
    <w:rsid w:val="4696565B"/>
    <w:rsid w:val="486716D5"/>
    <w:rsid w:val="48F80521"/>
    <w:rsid w:val="4A0155CC"/>
    <w:rsid w:val="4B3F63AB"/>
    <w:rsid w:val="4BEC277D"/>
    <w:rsid w:val="4D6E4D26"/>
    <w:rsid w:val="4E047438"/>
    <w:rsid w:val="50235231"/>
    <w:rsid w:val="511D56D0"/>
    <w:rsid w:val="529F1652"/>
    <w:rsid w:val="52CF767F"/>
    <w:rsid w:val="53422EDD"/>
    <w:rsid w:val="543B0529"/>
    <w:rsid w:val="54C3004D"/>
    <w:rsid w:val="551B705E"/>
    <w:rsid w:val="562543F0"/>
    <w:rsid w:val="58AD7DEC"/>
    <w:rsid w:val="58F669E4"/>
    <w:rsid w:val="5AB83A84"/>
    <w:rsid w:val="5AEC2C48"/>
    <w:rsid w:val="5B1A71E8"/>
    <w:rsid w:val="5D30024A"/>
    <w:rsid w:val="5F334226"/>
    <w:rsid w:val="5F9C3975"/>
    <w:rsid w:val="5FAA42E4"/>
    <w:rsid w:val="60291874"/>
    <w:rsid w:val="60430294"/>
    <w:rsid w:val="60787F3E"/>
    <w:rsid w:val="60E70C75"/>
    <w:rsid w:val="6342045B"/>
    <w:rsid w:val="63804211"/>
    <w:rsid w:val="63C0423B"/>
    <w:rsid w:val="640B10C9"/>
    <w:rsid w:val="650E70C3"/>
    <w:rsid w:val="68B8201F"/>
    <w:rsid w:val="698C2CAC"/>
    <w:rsid w:val="6C661592"/>
    <w:rsid w:val="6CBE317C"/>
    <w:rsid w:val="6DD644F6"/>
    <w:rsid w:val="6E657628"/>
    <w:rsid w:val="711F5E08"/>
    <w:rsid w:val="71905C4D"/>
    <w:rsid w:val="72451C4A"/>
    <w:rsid w:val="72807126"/>
    <w:rsid w:val="72E27499"/>
    <w:rsid w:val="72E90827"/>
    <w:rsid w:val="73BB3F9F"/>
    <w:rsid w:val="74A04A90"/>
    <w:rsid w:val="76E23F0B"/>
    <w:rsid w:val="77CE623E"/>
    <w:rsid w:val="78B36917"/>
    <w:rsid w:val="7A68306F"/>
    <w:rsid w:val="7ADD1970"/>
    <w:rsid w:val="7B147A77"/>
    <w:rsid w:val="7B595D6D"/>
    <w:rsid w:val="7B644F69"/>
    <w:rsid w:val="7BBE3734"/>
    <w:rsid w:val="7BC35492"/>
    <w:rsid w:val="7C872F0B"/>
    <w:rsid w:val="7DDE4023"/>
    <w:rsid w:val="7E470AF8"/>
    <w:rsid w:val="7F4B3549"/>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unhideWhenUsed/>
    <w:qFormat/>
    <w:uiPriority w:val="99"/>
    <w:pPr>
      <w:autoSpaceDE w:val="0"/>
      <w:autoSpaceDN w:val="0"/>
      <w:jc w:val="left"/>
    </w:pPr>
    <w:rPr>
      <w:rFonts w:ascii="宋体" w:hAnsi="宋体" w:eastAsia="宋体" w:cs="宋体"/>
      <w:kern w:val="0"/>
      <w:sz w:val="32"/>
      <w:szCs w:val="32"/>
    </w:rPr>
  </w:style>
  <w:style w:type="paragraph" w:styleId="3">
    <w:name w:val="Body Text First Indent"/>
    <w:basedOn w:val="2"/>
    <w:next w:val="2"/>
    <w:qFormat/>
    <w:uiPriority w:val="0"/>
    <w:pPr>
      <w:spacing w:after="120"/>
      <w:ind w:firstLine="420" w:firstLineChars="100"/>
    </w:pPr>
    <w:rPr>
      <w:rFonts w:ascii="Times New Roman"/>
      <w:sz w:val="21"/>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日期 Char"/>
    <w:basedOn w:val="9"/>
    <w:link w:val="4"/>
    <w:semiHidden/>
    <w:qFormat/>
    <w:uiPriority w:val="99"/>
  </w:style>
  <w:style w:type="character" w:customStyle="1" w:styleId="14">
    <w:name w:val="正文文本 Char"/>
    <w:basedOn w:val="9"/>
    <w:link w:val="2"/>
    <w:qFormat/>
    <w:uiPriority w:val="99"/>
    <w:rPr>
      <w:rFonts w:ascii="宋体" w:hAnsi="宋体" w:eastAsia="宋体" w:cs="宋体"/>
      <w:kern w:val="0"/>
      <w:sz w:val="32"/>
      <w:szCs w:val="32"/>
    </w:rPr>
  </w:style>
  <w:style w:type="character" w:customStyle="1" w:styleId="15">
    <w:name w:val="正文文本 Char1"/>
    <w:basedOn w:val="9"/>
    <w:semiHidden/>
    <w:qFormat/>
    <w:uiPriority w:val="99"/>
  </w:style>
  <w:style w:type="character" w:customStyle="1" w:styleId="16">
    <w:name w:val="15"/>
    <w:basedOn w:val="9"/>
    <w:qFormat/>
    <w:uiPriority w:val="0"/>
    <w:rPr>
      <w:rFonts w:hint="default" w:ascii="Calibri" w:hAnsi="Calibri" w:cs="Calibri"/>
      <w:color w:val="0000FF"/>
      <w:u w:val="single"/>
    </w:rPr>
  </w:style>
  <w:style w:type="paragraph" w:styleId="17">
    <w:name w:val="List Paragraph"/>
    <w:basedOn w:val="1"/>
    <w:qFormat/>
    <w:uiPriority w:val="99"/>
    <w:pPr>
      <w:ind w:firstLine="420" w:firstLineChars="200"/>
    </w:pPr>
    <w:rPr>
      <w:rFonts w:ascii="Times New Roman" w:hAnsi="Times New Roman" w:eastAsia="宋体" w:cs="Times New Roman"/>
      <w:szCs w:val="21"/>
    </w:rPr>
  </w:style>
  <w:style w:type="paragraph" w:customStyle="1" w:styleId="18">
    <w:name w:val="封面标准名称"/>
    <w:basedOn w:val="1"/>
    <w:qFormat/>
    <w:uiPriority w:val="0"/>
    <w:pPr>
      <w:spacing w:line="680" w:lineRule="exact"/>
      <w:jc w:val="center"/>
      <w:textAlignment w:val="center"/>
    </w:pPr>
    <w:rPr>
      <w:rFonts w:ascii="黑体" w:hAnsi="黑体" w:eastAsia="黑体" w:cs="宋体"/>
      <w:kern w:val="0"/>
      <w:sz w:val="52"/>
      <w:szCs w:val="52"/>
    </w:rPr>
  </w:style>
  <w:style w:type="paragraph" w:customStyle="1" w:styleId="19">
    <w:name w:val="Body Text First Indent1"/>
    <w:basedOn w:val="2"/>
    <w:next w:val="6"/>
    <w:qFormat/>
    <w:uiPriority w:val="99"/>
    <w:pPr>
      <w:ind w:firstLine="420" w:firstLineChars="100"/>
    </w:pPr>
    <w:rPr>
      <w:rFonts w:ascii="Calibri" w:hAnsi="Calibri" w:cs="Calibri"/>
      <w:szCs w:val="21"/>
    </w:rPr>
  </w:style>
  <w:style w:type="paragraph" w:customStyle="1" w:styleId="20">
    <w:name w:val="标准文件_章标题"/>
    <w:next w:val="2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AF4E6-F92D-48F1-ABD1-B4A0651380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2184</Words>
  <Characters>2330</Characters>
  <Lines>34</Lines>
  <Paragraphs>9</Paragraphs>
  <TotalTime>9</TotalTime>
  <ScaleCrop>false</ScaleCrop>
  <LinksUpToDate>false</LinksUpToDate>
  <CharactersWithSpaces>2339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2021-07-22T06:55:00Z</dcterms:created>
  <dc:creator>Sky123.Org</dc:creator>
  <cp:lastModifiedBy>张洁</cp:lastModifiedBy>
  <cp:lastPrinted>2024-05-20T02:42:00Z</cp:lastPrinted>
  <dcterms:modified xsi:type="dcterms:W3CDTF">2024-09-27T06:08:12Z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381B7EABCFD246E8888EAB7E4BAC1283_13</vt:lpwstr>
  </property>
</Properties>
</file>