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D2708">
      <w:pPr>
        <w:jc w:val="center"/>
        <w:rPr>
          <w:rStyle w:val="5"/>
          <w:rFonts w:hint="eastAsia" w:ascii="宋体" w:hAnsi="宋体" w:eastAsia="宋体" w:cs="宋体"/>
          <w:b/>
          <w:bCs w:val="0"/>
          <w:color w:val="auto"/>
          <w:sz w:val="28"/>
          <w:szCs w:val="28"/>
          <w:highlight w:val="none"/>
          <w:lang w:val="en-US" w:eastAsia="zh-CN"/>
        </w:rPr>
      </w:pPr>
      <w:r>
        <w:rPr>
          <w:rStyle w:val="5"/>
          <w:rFonts w:hint="eastAsia" w:ascii="宋体" w:hAnsi="宋体" w:eastAsia="宋体" w:cs="宋体"/>
          <w:b/>
          <w:bCs w:val="0"/>
          <w:color w:val="auto"/>
          <w:sz w:val="28"/>
          <w:szCs w:val="28"/>
          <w:highlight w:val="none"/>
          <w:lang w:eastAsia="zh-CN"/>
        </w:rPr>
        <w:t>南通市电子政务外网互联网接入区网络运维服务项目（2026年度）</w:t>
      </w:r>
      <w:r>
        <w:rPr>
          <w:rStyle w:val="5"/>
          <w:rFonts w:hint="eastAsia" w:ascii="宋体" w:hAnsi="宋体" w:eastAsia="宋体" w:cs="宋体"/>
          <w:b/>
          <w:bCs w:val="0"/>
          <w:color w:val="auto"/>
          <w:sz w:val="28"/>
          <w:szCs w:val="28"/>
          <w:highlight w:val="none"/>
          <w:lang w:val="en-US" w:eastAsia="zh-CN"/>
        </w:rPr>
        <w:t>需求</w:t>
      </w:r>
    </w:p>
    <w:p w14:paraId="67515378">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项目背景</w:t>
      </w:r>
    </w:p>
    <w:p w14:paraId="1DC92B7F">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电子政务外网互联网接入区网络设备和配置运维服务将于2026年1月份到期，为确保电子政务外网互联网接入区网络设备的稳定运行，拟对南通市电子政务外网新接入区网络运维服务进行采购。</w:t>
      </w:r>
    </w:p>
    <w:p w14:paraId="4D54A95E">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项目内容</w:t>
      </w:r>
    </w:p>
    <w:p w14:paraId="09D44CDF">
      <w:pPr>
        <w:numPr>
          <w:ilvl w:val="0"/>
          <w:numId w:val="0"/>
        </w:numPr>
        <w:spacing w:line="360" w:lineRule="auto"/>
        <w:ind w:left="0" w:leftChars="0"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（一）服务内容一</w:t>
      </w:r>
    </w:p>
    <w:p w14:paraId="6FC65B62">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提供电子政务外网互联网接入区所有超出原厂质保年限的网络设备硬件质保服务，包括设备、配件损坏后的维修更换，核心设备提供备件支持。服务期限为1年。设备清单主要包括：互联网接入区核心网络和安全设备，各集中汇聚区域核心层、汇聚层和接入层网络设备，以及部分网络安全边界设备。</w:t>
      </w:r>
    </w:p>
    <w:p w14:paraId="644159A6">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1.做好全年维护保养服务工作，保证设备稳定运行。</w:t>
      </w:r>
    </w:p>
    <w:p w14:paraId="0B0E2BE8">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2.提供每月一次巡检，对维保范围内硬件设备的整体运行状态进行评估分析，出具书面的设备巡检报告提交至采购单位。</w:t>
      </w:r>
    </w:p>
    <w:p w14:paraId="19393263">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设备运行巡检须包含：查看维护范围内的硬件设备当前运行状态及各个设备资源使用情况；核查核心交换机至各个汇聚的连接情况、运行状态等；检查设备安全配置是否正确，包括IP地址配置、网关配置、路由配置、安全规则配置、地址转换规则配置、端口映射规则配置配置、网管SNMP配置、管理账号权限配置是否合理、操作日志检查、配置是否备份等。</w:t>
      </w:r>
    </w:p>
    <w:p w14:paraId="064571DF">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4.提供维保设备清单内所有设备的版本管理和软件补丁服务。</w:t>
      </w:r>
    </w:p>
    <w:p w14:paraId="753D3ACC">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5.根据采购单位要求参与实施、配置及维护工作，并提出合理建议优化网络。</w:t>
      </w:r>
    </w:p>
    <w:p w14:paraId="390FD184">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提供维保设备清单中设备原厂质保到期后的硬件质保工作，维保清单中所有设备、配件损坏后由成交供应商负责提供更新，设备所有维修费用由成交供应商提供。包括但不限于以下设备（具体型号可现场勘察）。</w:t>
      </w:r>
    </w:p>
    <w:tbl>
      <w:tblPr>
        <w:tblStyle w:val="3"/>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648"/>
        <w:gridCol w:w="3633"/>
        <w:gridCol w:w="1314"/>
      </w:tblGrid>
      <w:tr w14:paraId="613E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7045DF2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Style w:val="6"/>
                <w:rFonts w:hint="eastAsia" w:ascii="宋体" w:hAnsi="宋体" w:eastAsia="宋体" w:cs="宋体"/>
                <w:sz w:val="21"/>
                <w:szCs w:val="21"/>
                <w:lang w:val="en-US" w:eastAsia="zh-CN" w:bidi="ar"/>
              </w:rPr>
              <w:t>序号</w:t>
            </w:r>
          </w:p>
        </w:tc>
        <w:tc>
          <w:tcPr>
            <w:tcW w:w="2648" w:type="dxa"/>
            <w:noWrap w:val="0"/>
            <w:vAlign w:val="center"/>
          </w:tcPr>
          <w:p w14:paraId="63A9EB3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Style w:val="6"/>
                <w:rFonts w:hint="eastAsia" w:ascii="宋体" w:hAnsi="宋体" w:eastAsia="宋体" w:cs="宋体"/>
                <w:sz w:val="21"/>
                <w:szCs w:val="21"/>
                <w:lang w:val="en-US" w:eastAsia="zh-CN" w:bidi="ar"/>
              </w:rPr>
              <w:t>设备地点</w:t>
            </w:r>
          </w:p>
        </w:tc>
        <w:tc>
          <w:tcPr>
            <w:tcW w:w="3633" w:type="dxa"/>
            <w:noWrap w:val="0"/>
            <w:vAlign w:val="center"/>
          </w:tcPr>
          <w:p w14:paraId="10E2B5F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设备</w:t>
            </w:r>
            <w:r>
              <w:rPr>
                <w:rStyle w:val="6"/>
                <w:rFonts w:hint="eastAsia" w:ascii="宋体" w:hAnsi="宋体" w:eastAsia="宋体" w:cs="宋体"/>
                <w:sz w:val="21"/>
                <w:szCs w:val="21"/>
                <w:lang w:val="en-US" w:eastAsia="zh-CN" w:bidi="ar"/>
              </w:rPr>
              <w:t>名称</w:t>
            </w:r>
          </w:p>
        </w:tc>
        <w:tc>
          <w:tcPr>
            <w:tcW w:w="1314" w:type="dxa"/>
            <w:noWrap w:val="0"/>
            <w:vAlign w:val="center"/>
          </w:tcPr>
          <w:p w14:paraId="2854EE3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Style w:val="6"/>
                <w:rFonts w:hint="eastAsia" w:ascii="宋体" w:hAnsi="宋体" w:eastAsia="宋体" w:cs="宋体"/>
                <w:sz w:val="21"/>
                <w:szCs w:val="21"/>
                <w:lang w:val="en-US" w:eastAsia="zh-CN" w:bidi="ar"/>
              </w:rPr>
              <w:t>数量</w:t>
            </w:r>
          </w:p>
        </w:tc>
      </w:tr>
      <w:tr w14:paraId="6B15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1D3CA97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2648" w:type="dxa"/>
            <w:noWrap w:val="0"/>
            <w:vAlign w:val="center"/>
          </w:tcPr>
          <w:p w14:paraId="59F8C98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行政中心</w:t>
            </w:r>
          </w:p>
        </w:tc>
        <w:tc>
          <w:tcPr>
            <w:tcW w:w="3633" w:type="dxa"/>
            <w:noWrap w:val="0"/>
            <w:vAlign w:val="center"/>
          </w:tcPr>
          <w:p w14:paraId="40145C0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防火墙</w:t>
            </w:r>
          </w:p>
        </w:tc>
        <w:tc>
          <w:tcPr>
            <w:tcW w:w="1314" w:type="dxa"/>
            <w:noWrap w:val="0"/>
            <w:vAlign w:val="center"/>
          </w:tcPr>
          <w:p w14:paraId="7A9424E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r>
      <w:tr w14:paraId="69D9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2DE16A7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2648" w:type="dxa"/>
            <w:noWrap w:val="0"/>
            <w:vAlign w:val="center"/>
          </w:tcPr>
          <w:p w14:paraId="4564546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行政中心</w:t>
            </w:r>
          </w:p>
        </w:tc>
        <w:tc>
          <w:tcPr>
            <w:tcW w:w="3633" w:type="dxa"/>
            <w:noWrap w:val="0"/>
            <w:vAlign w:val="center"/>
          </w:tcPr>
          <w:p w14:paraId="227F88F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核心交换机</w:t>
            </w:r>
          </w:p>
        </w:tc>
        <w:tc>
          <w:tcPr>
            <w:tcW w:w="1314" w:type="dxa"/>
            <w:noWrap w:val="0"/>
            <w:vAlign w:val="center"/>
          </w:tcPr>
          <w:p w14:paraId="45536FF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r>
      <w:tr w14:paraId="746F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19F4D0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648" w:type="dxa"/>
            <w:noWrap w:val="0"/>
            <w:vAlign w:val="center"/>
          </w:tcPr>
          <w:p w14:paraId="2DF1AC3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行政中心</w:t>
            </w:r>
          </w:p>
        </w:tc>
        <w:tc>
          <w:tcPr>
            <w:tcW w:w="3633" w:type="dxa"/>
            <w:noWrap w:val="0"/>
            <w:vAlign w:val="center"/>
          </w:tcPr>
          <w:p w14:paraId="22BA606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主楼汇聚交换机</w:t>
            </w:r>
          </w:p>
        </w:tc>
        <w:tc>
          <w:tcPr>
            <w:tcW w:w="1314" w:type="dxa"/>
            <w:noWrap w:val="0"/>
            <w:vAlign w:val="center"/>
          </w:tcPr>
          <w:p w14:paraId="626602C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14:paraId="59E7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5A1AB3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648" w:type="dxa"/>
            <w:noWrap w:val="0"/>
            <w:vAlign w:val="center"/>
          </w:tcPr>
          <w:p w14:paraId="3B904C3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行政中心</w:t>
            </w:r>
          </w:p>
        </w:tc>
        <w:tc>
          <w:tcPr>
            <w:tcW w:w="3633" w:type="dxa"/>
            <w:noWrap w:val="0"/>
            <w:vAlign w:val="center"/>
          </w:tcPr>
          <w:p w14:paraId="542DD27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辅楼汇聚交换机</w:t>
            </w:r>
          </w:p>
        </w:tc>
        <w:tc>
          <w:tcPr>
            <w:tcW w:w="1314" w:type="dxa"/>
            <w:noWrap w:val="0"/>
            <w:vAlign w:val="center"/>
          </w:tcPr>
          <w:p w14:paraId="1130DF6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r>
      <w:tr w14:paraId="3C4F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6A103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648" w:type="dxa"/>
            <w:noWrap w:val="0"/>
            <w:vAlign w:val="center"/>
          </w:tcPr>
          <w:p w14:paraId="41892B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行政中心</w:t>
            </w:r>
          </w:p>
        </w:tc>
        <w:tc>
          <w:tcPr>
            <w:tcW w:w="3633" w:type="dxa"/>
            <w:noWrap w:val="0"/>
            <w:vAlign w:val="center"/>
          </w:tcPr>
          <w:p w14:paraId="72A3E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w:t>
            </w:r>
          </w:p>
        </w:tc>
        <w:tc>
          <w:tcPr>
            <w:tcW w:w="1314" w:type="dxa"/>
            <w:noWrap w:val="0"/>
            <w:vAlign w:val="center"/>
          </w:tcPr>
          <w:p w14:paraId="2186FB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r>
      <w:tr w14:paraId="3EBA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469ED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648" w:type="dxa"/>
            <w:noWrap w:val="0"/>
            <w:vAlign w:val="center"/>
          </w:tcPr>
          <w:p w14:paraId="638BA36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政务中心</w:t>
            </w:r>
          </w:p>
        </w:tc>
        <w:tc>
          <w:tcPr>
            <w:tcW w:w="3633" w:type="dxa"/>
            <w:noWrap w:val="0"/>
            <w:vAlign w:val="center"/>
          </w:tcPr>
          <w:p w14:paraId="629719D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核心交换机</w:t>
            </w:r>
          </w:p>
        </w:tc>
        <w:tc>
          <w:tcPr>
            <w:tcW w:w="1314" w:type="dxa"/>
            <w:noWrap w:val="0"/>
            <w:vAlign w:val="center"/>
          </w:tcPr>
          <w:p w14:paraId="3CCE503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14:paraId="513D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5101095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648" w:type="dxa"/>
            <w:noWrap w:val="0"/>
            <w:vAlign w:val="center"/>
          </w:tcPr>
          <w:p w14:paraId="464C5C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政务中心</w:t>
            </w:r>
          </w:p>
        </w:tc>
        <w:tc>
          <w:tcPr>
            <w:tcW w:w="3633" w:type="dxa"/>
            <w:noWrap w:val="0"/>
            <w:vAlign w:val="center"/>
          </w:tcPr>
          <w:p w14:paraId="02A545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w:t>
            </w:r>
          </w:p>
        </w:tc>
        <w:tc>
          <w:tcPr>
            <w:tcW w:w="1314" w:type="dxa"/>
            <w:noWrap w:val="0"/>
            <w:vAlign w:val="center"/>
          </w:tcPr>
          <w:p w14:paraId="75CF7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14:paraId="7C94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5A7FC1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648" w:type="dxa"/>
            <w:noWrap w:val="0"/>
            <w:vAlign w:val="center"/>
          </w:tcPr>
          <w:p w14:paraId="087C17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政务中心</w:t>
            </w:r>
          </w:p>
        </w:tc>
        <w:tc>
          <w:tcPr>
            <w:tcW w:w="3633" w:type="dxa"/>
            <w:noWrap w:val="0"/>
            <w:vAlign w:val="center"/>
          </w:tcPr>
          <w:p w14:paraId="4190F6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w:t>
            </w:r>
          </w:p>
        </w:tc>
        <w:tc>
          <w:tcPr>
            <w:tcW w:w="1314" w:type="dxa"/>
            <w:noWrap w:val="0"/>
            <w:vAlign w:val="center"/>
          </w:tcPr>
          <w:p w14:paraId="1A7F0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r>
      <w:tr w14:paraId="275A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17C98A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648" w:type="dxa"/>
            <w:noWrap w:val="0"/>
            <w:vAlign w:val="center"/>
          </w:tcPr>
          <w:p w14:paraId="3AE3FC5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图书馆</w:t>
            </w:r>
          </w:p>
        </w:tc>
        <w:tc>
          <w:tcPr>
            <w:tcW w:w="3633" w:type="dxa"/>
            <w:noWrap w:val="0"/>
            <w:vAlign w:val="center"/>
          </w:tcPr>
          <w:p w14:paraId="282946D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核心交换机</w:t>
            </w:r>
          </w:p>
        </w:tc>
        <w:tc>
          <w:tcPr>
            <w:tcW w:w="1314" w:type="dxa"/>
            <w:noWrap w:val="0"/>
            <w:vAlign w:val="center"/>
          </w:tcPr>
          <w:p w14:paraId="3A64FBD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r>
      <w:tr w14:paraId="4D68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01EA48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648" w:type="dxa"/>
            <w:noWrap w:val="0"/>
            <w:vAlign w:val="center"/>
          </w:tcPr>
          <w:p w14:paraId="4A951E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图书馆</w:t>
            </w:r>
          </w:p>
        </w:tc>
        <w:tc>
          <w:tcPr>
            <w:tcW w:w="3633" w:type="dxa"/>
            <w:noWrap w:val="0"/>
            <w:vAlign w:val="center"/>
          </w:tcPr>
          <w:p w14:paraId="725DF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w:t>
            </w:r>
          </w:p>
        </w:tc>
        <w:tc>
          <w:tcPr>
            <w:tcW w:w="1314" w:type="dxa"/>
            <w:noWrap w:val="0"/>
            <w:vAlign w:val="center"/>
          </w:tcPr>
          <w:p w14:paraId="7EBA6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14:paraId="1358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346336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648" w:type="dxa"/>
            <w:noWrap w:val="0"/>
            <w:vAlign w:val="center"/>
          </w:tcPr>
          <w:p w14:paraId="4E0911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图书馆</w:t>
            </w:r>
          </w:p>
        </w:tc>
        <w:tc>
          <w:tcPr>
            <w:tcW w:w="3633" w:type="dxa"/>
            <w:noWrap w:val="0"/>
            <w:vAlign w:val="center"/>
          </w:tcPr>
          <w:p w14:paraId="16544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w:t>
            </w:r>
          </w:p>
        </w:tc>
        <w:tc>
          <w:tcPr>
            <w:tcW w:w="1314" w:type="dxa"/>
            <w:noWrap w:val="0"/>
            <w:vAlign w:val="center"/>
          </w:tcPr>
          <w:p w14:paraId="3597D8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r>
      <w:tr w14:paraId="1CDF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19F50FF0">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12</w:t>
            </w:r>
          </w:p>
        </w:tc>
        <w:tc>
          <w:tcPr>
            <w:tcW w:w="2648" w:type="dxa"/>
            <w:noWrap w:val="0"/>
            <w:vAlign w:val="center"/>
          </w:tcPr>
          <w:p w14:paraId="41F4A12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启瑞广场</w:t>
            </w:r>
          </w:p>
        </w:tc>
        <w:tc>
          <w:tcPr>
            <w:tcW w:w="3633" w:type="dxa"/>
            <w:noWrap w:val="0"/>
            <w:vAlign w:val="center"/>
          </w:tcPr>
          <w:p w14:paraId="69C8F7D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核心交换机</w:t>
            </w:r>
          </w:p>
        </w:tc>
        <w:tc>
          <w:tcPr>
            <w:tcW w:w="1314" w:type="dxa"/>
            <w:noWrap w:val="0"/>
            <w:vAlign w:val="center"/>
          </w:tcPr>
          <w:p w14:paraId="264836D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14:paraId="3D6C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219FF6D2">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13</w:t>
            </w:r>
          </w:p>
        </w:tc>
        <w:tc>
          <w:tcPr>
            <w:tcW w:w="2648" w:type="dxa"/>
            <w:noWrap w:val="0"/>
            <w:vAlign w:val="center"/>
          </w:tcPr>
          <w:p w14:paraId="1515B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启瑞广场</w:t>
            </w:r>
          </w:p>
        </w:tc>
        <w:tc>
          <w:tcPr>
            <w:tcW w:w="3633" w:type="dxa"/>
            <w:noWrap w:val="0"/>
            <w:vAlign w:val="center"/>
          </w:tcPr>
          <w:p w14:paraId="5AB28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w:t>
            </w:r>
          </w:p>
        </w:tc>
        <w:tc>
          <w:tcPr>
            <w:tcW w:w="1314" w:type="dxa"/>
            <w:noWrap w:val="0"/>
            <w:vAlign w:val="center"/>
          </w:tcPr>
          <w:p w14:paraId="39471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14:paraId="5340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76764460">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14</w:t>
            </w:r>
          </w:p>
        </w:tc>
        <w:tc>
          <w:tcPr>
            <w:tcW w:w="2648" w:type="dxa"/>
            <w:noWrap w:val="0"/>
            <w:vAlign w:val="center"/>
          </w:tcPr>
          <w:p w14:paraId="6DDCB8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江景苑</w:t>
            </w:r>
          </w:p>
        </w:tc>
        <w:tc>
          <w:tcPr>
            <w:tcW w:w="3633" w:type="dxa"/>
            <w:noWrap w:val="0"/>
            <w:vAlign w:val="center"/>
          </w:tcPr>
          <w:p w14:paraId="21471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核心交换机</w:t>
            </w:r>
          </w:p>
        </w:tc>
        <w:tc>
          <w:tcPr>
            <w:tcW w:w="1314" w:type="dxa"/>
            <w:noWrap w:val="0"/>
            <w:vAlign w:val="center"/>
          </w:tcPr>
          <w:p w14:paraId="4CC237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64C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6C15E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648" w:type="dxa"/>
            <w:noWrap w:val="0"/>
            <w:vAlign w:val="center"/>
          </w:tcPr>
          <w:p w14:paraId="60E32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江景苑</w:t>
            </w:r>
          </w:p>
        </w:tc>
        <w:tc>
          <w:tcPr>
            <w:tcW w:w="3633" w:type="dxa"/>
            <w:noWrap w:val="0"/>
            <w:vAlign w:val="center"/>
          </w:tcPr>
          <w:p w14:paraId="4B802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接入交换机</w:t>
            </w:r>
          </w:p>
        </w:tc>
        <w:tc>
          <w:tcPr>
            <w:tcW w:w="1314" w:type="dxa"/>
            <w:noWrap w:val="0"/>
            <w:vAlign w:val="center"/>
          </w:tcPr>
          <w:p w14:paraId="5CFC34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r>
      <w:tr w14:paraId="0DB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3" w:type="dxa"/>
            <w:noWrap w:val="0"/>
            <w:vAlign w:val="center"/>
          </w:tcPr>
          <w:p w14:paraId="68CB27BB">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16</w:t>
            </w:r>
          </w:p>
        </w:tc>
        <w:tc>
          <w:tcPr>
            <w:tcW w:w="2648" w:type="dxa"/>
            <w:noWrap w:val="0"/>
            <w:vAlign w:val="center"/>
          </w:tcPr>
          <w:p w14:paraId="57BC4D5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广电机房</w:t>
            </w:r>
          </w:p>
        </w:tc>
        <w:tc>
          <w:tcPr>
            <w:tcW w:w="3633" w:type="dxa"/>
            <w:noWrap w:val="0"/>
            <w:vAlign w:val="center"/>
          </w:tcPr>
          <w:p w14:paraId="63AF5FF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核心汇聚交换机</w:t>
            </w:r>
          </w:p>
        </w:tc>
        <w:tc>
          <w:tcPr>
            <w:tcW w:w="1314" w:type="dxa"/>
            <w:noWrap w:val="0"/>
            <w:vAlign w:val="center"/>
          </w:tcPr>
          <w:p w14:paraId="1BC1F57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r>
      <w:tr w14:paraId="3DB3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63" w:type="dxa"/>
            <w:noWrap w:val="0"/>
            <w:vAlign w:val="center"/>
          </w:tcPr>
          <w:p w14:paraId="029D60BD">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17</w:t>
            </w:r>
          </w:p>
        </w:tc>
        <w:tc>
          <w:tcPr>
            <w:tcW w:w="2648" w:type="dxa"/>
            <w:noWrap w:val="0"/>
            <w:vAlign w:val="center"/>
          </w:tcPr>
          <w:p w14:paraId="572FA471">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电信机房</w:t>
            </w:r>
          </w:p>
        </w:tc>
        <w:tc>
          <w:tcPr>
            <w:tcW w:w="3633" w:type="dxa"/>
            <w:noWrap w:val="0"/>
            <w:vAlign w:val="center"/>
          </w:tcPr>
          <w:p w14:paraId="1DACB156">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核心汇聚交换机</w:t>
            </w:r>
          </w:p>
        </w:tc>
        <w:tc>
          <w:tcPr>
            <w:tcW w:w="1314" w:type="dxa"/>
            <w:noWrap w:val="0"/>
            <w:vAlign w:val="center"/>
          </w:tcPr>
          <w:p w14:paraId="010FD30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r>
    </w:tbl>
    <w:p w14:paraId="73C692B5">
      <w:pPr>
        <w:numPr>
          <w:ilvl w:val="0"/>
          <w:numId w:val="0"/>
        </w:numPr>
        <w:spacing w:line="360" w:lineRule="auto"/>
        <w:ind w:left="0" w:leftChars="0"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（二）服务内容二</w:t>
      </w:r>
    </w:p>
    <w:p w14:paraId="74931F55">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提供电子政务外网互联网接入区网络设备配置维护服务，包括所有设备的配置巡检、安全加固，网络访问策略的调整更新，以及院内外单位的故障咨询和上门调试服务。服务期限为1年。服务范围包括：</w:t>
      </w:r>
      <w:r>
        <w:rPr>
          <w:rFonts w:hint="default" w:ascii="宋体" w:hAnsi="宋体" w:eastAsia="宋体" w:cs="Times New Roman"/>
          <w:color w:val="auto"/>
          <w:sz w:val="24"/>
          <w:szCs w:val="24"/>
          <w:highlight w:val="none"/>
          <w:lang w:val="en-US" w:eastAsia="zh-CN"/>
        </w:rPr>
        <w:t>院内接入单位4</w:t>
      </w:r>
      <w:r>
        <w:rPr>
          <w:rFonts w:hint="eastAsia" w:ascii="宋体" w:hAnsi="宋体" w:eastAsia="宋体" w:cs="Times New Roman"/>
          <w:color w:val="auto"/>
          <w:sz w:val="24"/>
          <w:szCs w:val="24"/>
          <w:highlight w:val="none"/>
          <w:lang w:val="en-US" w:eastAsia="zh-CN"/>
        </w:rPr>
        <w:t>7</w:t>
      </w:r>
      <w:r>
        <w:rPr>
          <w:rFonts w:hint="default" w:ascii="宋体" w:hAnsi="宋体" w:eastAsia="宋体" w:cs="Times New Roman"/>
          <w:color w:val="auto"/>
          <w:sz w:val="24"/>
          <w:szCs w:val="24"/>
          <w:highlight w:val="none"/>
          <w:lang w:val="en-US" w:eastAsia="zh-CN"/>
        </w:rPr>
        <w:t>家</w:t>
      </w:r>
      <w:r>
        <w:rPr>
          <w:rFonts w:hint="eastAsia" w:ascii="宋体" w:hAnsi="宋体" w:eastAsia="宋体" w:cs="Times New Roman"/>
          <w:color w:val="auto"/>
          <w:sz w:val="24"/>
          <w:szCs w:val="24"/>
          <w:highlight w:val="none"/>
          <w:lang w:val="en-US" w:eastAsia="zh-CN"/>
        </w:rPr>
        <w:t>，</w:t>
      </w:r>
      <w:r>
        <w:rPr>
          <w:rFonts w:hint="default" w:ascii="宋体" w:hAnsi="宋体" w:eastAsia="宋体" w:cs="Times New Roman"/>
          <w:color w:val="auto"/>
          <w:sz w:val="24"/>
          <w:szCs w:val="24"/>
          <w:highlight w:val="none"/>
          <w:lang w:val="en-US" w:eastAsia="zh-CN"/>
        </w:rPr>
        <w:t>院外</w:t>
      </w:r>
      <w:r>
        <w:rPr>
          <w:rFonts w:hint="eastAsia" w:ascii="宋体" w:hAnsi="宋体" w:eastAsia="宋体" w:cs="Times New Roman"/>
          <w:color w:val="auto"/>
          <w:sz w:val="24"/>
          <w:szCs w:val="24"/>
          <w:highlight w:val="none"/>
          <w:lang w:val="en-US" w:eastAsia="zh-CN"/>
        </w:rPr>
        <w:t>光纤</w:t>
      </w:r>
      <w:r>
        <w:rPr>
          <w:rFonts w:hint="default" w:ascii="宋体" w:hAnsi="宋体" w:eastAsia="宋体" w:cs="Times New Roman"/>
          <w:color w:val="auto"/>
          <w:sz w:val="24"/>
          <w:szCs w:val="24"/>
          <w:highlight w:val="none"/>
          <w:lang w:val="en-US" w:eastAsia="zh-CN"/>
        </w:rPr>
        <w:t>接入单位1</w:t>
      </w:r>
      <w:r>
        <w:rPr>
          <w:rFonts w:hint="eastAsia" w:ascii="宋体" w:hAnsi="宋体" w:eastAsia="宋体" w:cs="Times New Roman"/>
          <w:color w:val="auto"/>
          <w:sz w:val="24"/>
          <w:szCs w:val="24"/>
          <w:highlight w:val="none"/>
          <w:lang w:val="en-US" w:eastAsia="zh-CN"/>
        </w:rPr>
        <w:t>14</w:t>
      </w:r>
      <w:r>
        <w:rPr>
          <w:rFonts w:hint="default" w:ascii="宋体" w:hAnsi="宋体" w:eastAsia="宋体" w:cs="Times New Roman"/>
          <w:color w:val="auto"/>
          <w:sz w:val="24"/>
          <w:szCs w:val="24"/>
          <w:highlight w:val="none"/>
          <w:lang w:val="en-US" w:eastAsia="zh-CN"/>
        </w:rPr>
        <w:t>家</w:t>
      </w:r>
      <w:r>
        <w:rPr>
          <w:rFonts w:hint="eastAsia" w:ascii="宋体" w:hAnsi="宋体" w:eastAsia="宋体" w:cs="Times New Roman"/>
          <w:color w:val="auto"/>
          <w:sz w:val="24"/>
          <w:szCs w:val="24"/>
          <w:highlight w:val="none"/>
          <w:lang w:val="en-US" w:eastAsia="zh-CN"/>
        </w:rPr>
        <w:t>，具体单位数量以实际为准。</w:t>
      </w:r>
    </w:p>
    <w:p w14:paraId="3500AB4B">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1.运维服务涉及设备</w:t>
      </w:r>
    </w:p>
    <w:p w14:paraId="16285918">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运维服务主要涉及设备包含新接入区核心、汇聚及接入设备，其中院外接入设备和光纤猫接入设备部署在主城区各接入单位，分布范围较广。</w:t>
      </w:r>
    </w:p>
    <w:p w14:paraId="7336001C">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lang w:val="en-US" w:eastAsia="zh-CN"/>
        </w:rPr>
        <w:t>电子政务外网新接入区核心交换、安全设备的维护内容</w:t>
      </w:r>
    </w:p>
    <w:p w14:paraId="2F129A1C">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 xml:space="preserve">负责上述相关设备的维护，主要包含设备运行状况的巡检和设备配置文件管理的维护。维护需要做到以下重点工作： </w:t>
      </w:r>
    </w:p>
    <w:p w14:paraId="2BB60806">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default" w:ascii="宋体" w:hAnsi="宋体" w:eastAsia="宋体" w:cs="Times New Roman"/>
          <w:color w:val="auto"/>
          <w:sz w:val="24"/>
          <w:szCs w:val="24"/>
          <w:highlight w:val="none"/>
          <w:lang w:val="en-US" w:eastAsia="zh-CN"/>
        </w:rPr>
        <w:t>对于常见攻击，需通过关闭其相对应的端口，进行严格的网络接入控制。</w:t>
      </w:r>
    </w:p>
    <w:p w14:paraId="26A89170">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lang w:val="en-US" w:eastAsia="zh-CN"/>
        </w:rPr>
        <w:t>通过多种管理模式登入交换机如：Telnet、SSL、console口方式登入等，对主机IP地址加以安全登录限制、密码采用密文方式等，确保核心交换机的安全。</w:t>
      </w:r>
    </w:p>
    <w:p w14:paraId="353B54CD">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default" w:ascii="宋体" w:hAnsi="宋体" w:eastAsia="宋体" w:cs="Times New Roman"/>
          <w:color w:val="auto"/>
          <w:sz w:val="24"/>
          <w:szCs w:val="24"/>
          <w:highlight w:val="none"/>
          <w:lang w:val="en-US" w:eastAsia="zh-CN"/>
        </w:rPr>
        <w:t>加强网络交换机、出口防火墙的安全，包括console口管理、远程登录管理、登录口令安全性、关闭不必要的设备服务等。</w:t>
      </w:r>
    </w:p>
    <w:p w14:paraId="27512CFF">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w:t>
      </w:r>
      <w:r>
        <w:rPr>
          <w:rFonts w:hint="default" w:ascii="宋体" w:hAnsi="宋体" w:eastAsia="宋体" w:cs="Times New Roman"/>
          <w:color w:val="auto"/>
          <w:sz w:val="24"/>
          <w:szCs w:val="24"/>
          <w:highlight w:val="none"/>
          <w:lang w:val="en-US" w:eastAsia="zh-CN"/>
        </w:rPr>
        <w:t>定期备份网络交换机、出口防火墙配置文件，以便查阅与快速恢复，以及根据具体的使用安全考虑，优化配置，实现通信的安全高效。</w:t>
      </w:r>
    </w:p>
    <w:p w14:paraId="122C08FE">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w:t>
      </w:r>
      <w:r>
        <w:rPr>
          <w:rFonts w:hint="default" w:ascii="宋体" w:hAnsi="宋体" w:eastAsia="宋体" w:cs="Times New Roman"/>
          <w:color w:val="auto"/>
          <w:sz w:val="24"/>
          <w:szCs w:val="24"/>
          <w:highlight w:val="none"/>
          <w:lang w:val="en-US" w:eastAsia="zh-CN"/>
        </w:rPr>
        <w:t>定期以现场巡检方式检查设备运行状态，通过工具诊断，对比如CPU、</w:t>
      </w:r>
      <w:r>
        <w:rPr>
          <w:rFonts w:hint="eastAsia" w:ascii="宋体" w:hAnsi="宋体" w:eastAsia="宋体" w:cs="Times New Roman"/>
          <w:color w:val="auto"/>
          <w:sz w:val="24"/>
          <w:szCs w:val="24"/>
          <w:highlight w:val="none"/>
          <w:lang w:val="en-US" w:eastAsia="zh-CN"/>
        </w:rPr>
        <w:t>内存</w:t>
      </w:r>
      <w:r>
        <w:rPr>
          <w:rFonts w:hint="default" w:ascii="宋体" w:hAnsi="宋体" w:eastAsia="宋体" w:cs="Times New Roman"/>
          <w:color w:val="auto"/>
          <w:sz w:val="24"/>
          <w:szCs w:val="24"/>
          <w:highlight w:val="none"/>
          <w:lang w:val="en-US" w:eastAsia="zh-CN"/>
        </w:rPr>
        <w:t>、光模块、风扇、电源、温度等分项预期值，保障设备健康运行，出具相关报告，交付用户。</w:t>
      </w:r>
    </w:p>
    <w:p w14:paraId="11BE7A98">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w:t>
      </w:r>
      <w:r>
        <w:rPr>
          <w:rFonts w:hint="default" w:ascii="宋体" w:hAnsi="宋体" w:eastAsia="宋体" w:cs="Times New Roman"/>
          <w:color w:val="auto"/>
          <w:sz w:val="24"/>
          <w:szCs w:val="24"/>
          <w:highlight w:val="none"/>
          <w:lang w:val="en-US" w:eastAsia="zh-CN"/>
        </w:rPr>
        <w:t>对指定设备关联官方最新技术公告进行分析，保障设备不存在影响运行的重大隐患。</w:t>
      </w:r>
    </w:p>
    <w:p w14:paraId="3E6B60AE">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w:t>
      </w:r>
      <w:r>
        <w:rPr>
          <w:rFonts w:hint="default" w:ascii="宋体" w:hAnsi="宋体" w:eastAsia="宋体" w:cs="Times New Roman"/>
          <w:color w:val="auto"/>
          <w:sz w:val="24"/>
          <w:szCs w:val="24"/>
          <w:highlight w:val="none"/>
          <w:lang w:val="en-US" w:eastAsia="zh-CN"/>
        </w:rPr>
        <w:t>定期对设备配置规范性进行巡检审查，对如接口放行所有vlan、N</w:t>
      </w:r>
      <w:r>
        <w:rPr>
          <w:rFonts w:hint="eastAsia" w:ascii="宋体" w:hAnsi="宋体" w:eastAsia="宋体" w:cs="Times New Roman"/>
          <w:color w:val="auto"/>
          <w:sz w:val="24"/>
          <w:szCs w:val="24"/>
          <w:highlight w:val="none"/>
          <w:lang w:val="en-US" w:eastAsia="zh-CN"/>
        </w:rPr>
        <w:t>TP</w:t>
      </w:r>
      <w:r>
        <w:rPr>
          <w:rFonts w:hint="default" w:ascii="宋体" w:hAnsi="宋体" w:eastAsia="宋体" w:cs="Times New Roman"/>
          <w:color w:val="auto"/>
          <w:sz w:val="24"/>
          <w:szCs w:val="24"/>
          <w:highlight w:val="none"/>
          <w:lang w:val="en-US" w:eastAsia="zh-CN"/>
        </w:rPr>
        <w:t>配置、SNMP配置等配置中的不合理之处进行整改。</w:t>
      </w:r>
    </w:p>
    <w:p w14:paraId="68AA85A9">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w:t>
      </w:r>
      <w:r>
        <w:rPr>
          <w:rFonts w:hint="default" w:ascii="宋体" w:hAnsi="宋体" w:eastAsia="宋体" w:cs="Times New Roman"/>
          <w:color w:val="auto"/>
          <w:sz w:val="24"/>
          <w:szCs w:val="24"/>
          <w:highlight w:val="none"/>
          <w:lang w:val="en-US" w:eastAsia="zh-CN"/>
        </w:rPr>
        <w:t>管理设备端口线路详细资料，线缆标签须按规范标准化管理。</w:t>
      </w:r>
    </w:p>
    <w:p w14:paraId="108FA329">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w:t>
      </w:r>
      <w:r>
        <w:rPr>
          <w:rFonts w:hint="default" w:ascii="宋体" w:hAnsi="宋体" w:eastAsia="宋体" w:cs="Times New Roman"/>
          <w:color w:val="auto"/>
          <w:sz w:val="24"/>
          <w:szCs w:val="24"/>
          <w:highlight w:val="none"/>
          <w:lang w:val="en-US" w:eastAsia="zh-CN"/>
        </w:rPr>
        <w:t>管理设备端口数量使用率，如端口数量使用达到预设临界值，提前预警，以书面报告方式提醒</w:t>
      </w:r>
      <w:r>
        <w:rPr>
          <w:rFonts w:hint="eastAsia" w:ascii="宋体" w:hAnsi="宋体" w:eastAsia="宋体" w:cs="Times New Roman"/>
          <w:color w:val="auto"/>
          <w:sz w:val="24"/>
          <w:szCs w:val="24"/>
          <w:highlight w:val="none"/>
          <w:lang w:val="en-US" w:eastAsia="zh-CN"/>
        </w:rPr>
        <w:t>采购单位</w:t>
      </w:r>
      <w:r>
        <w:rPr>
          <w:rFonts w:hint="default" w:ascii="宋体" w:hAnsi="宋体" w:eastAsia="宋体" w:cs="Times New Roman"/>
          <w:color w:val="auto"/>
          <w:sz w:val="24"/>
          <w:szCs w:val="24"/>
          <w:highlight w:val="none"/>
          <w:lang w:val="en-US" w:eastAsia="zh-CN"/>
        </w:rPr>
        <w:t>以便提前处置。</w:t>
      </w:r>
    </w:p>
    <w:p w14:paraId="29286EDC">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（10）</w:t>
      </w:r>
      <w:r>
        <w:rPr>
          <w:rFonts w:hint="default" w:ascii="宋体" w:hAnsi="宋体" w:eastAsia="宋体" w:cs="Times New Roman"/>
          <w:color w:val="auto"/>
          <w:sz w:val="24"/>
          <w:szCs w:val="24"/>
          <w:highlight w:val="none"/>
          <w:lang w:val="en-US" w:eastAsia="zh-CN"/>
        </w:rPr>
        <w:t>对设备定期巡检时，需备份设备日志，并对告警日志进行分析，对分析出的如链路聚合状态异常、流量异常或端口异常等进行排查确认原因，以书面方式报告用户。</w:t>
      </w:r>
    </w:p>
    <w:p w14:paraId="2CA0EDBB">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3.电子政务外网新接入区核心交换设备的维护要求</w:t>
      </w:r>
    </w:p>
    <w:p w14:paraId="64043C97">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出口防火墙：市本级互联网出口安全配置、维护与调整，定期更新安全策略、升级特征库，配合部门业务调整终端NAT配置等。</w:t>
      </w:r>
    </w:p>
    <w:p w14:paraId="5AF81BB3">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核心交换机：行政中心、政务中心、图书馆、启瑞、江景苑等核心交换机配置、维护与调整，包括新增部门、调整部门、专网对接等应用。</w:t>
      </w:r>
    </w:p>
    <w:p w14:paraId="78905FFB">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运营商汇聚交换机：交换机配置、维护与调整，包括新增部门、调整部门、专网对接等应用。</w:t>
      </w:r>
    </w:p>
    <w:p w14:paraId="745E4DC0">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其他交换机：楼层汇聚和接入交换机配置、维护与调整，包括新增部门、调整部门、专网对接等应用。</w:t>
      </w:r>
    </w:p>
    <w:p w14:paraId="3152E9A9">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所有接入设备维护：接入部门边界设备的配置、维护与调整，包括设备的上门巡检、网络配置、维护、更换、安装、故障排除等。</w:t>
      </w:r>
    </w:p>
    <w:p w14:paraId="0F76D531">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4.新业务规划部署服务</w:t>
      </w:r>
    </w:p>
    <w:p w14:paraId="533FC284">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除负责新接入区网络的故障排除，及时解决问题保证网络畅通外，还需根据采购人需求对主干网络设备进行配置调整，包括新业务上线和原业务调整等。</w:t>
      </w:r>
    </w:p>
    <w:p w14:paraId="099FDAEF">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5.配合网络运营商排除接入线路故障</w:t>
      </w:r>
    </w:p>
    <w:p w14:paraId="56161045">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响应各接入单位故障报修，排查诊断网络故障，会同网络运营商解决网络问题。</w:t>
      </w:r>
    </w:p>
    <w:p w14:paraId="4E5401EA">
      <w:pPr>
        <w:numPr>
          <w:ilvl w:val="0"/>
          <w:numId w:val="0"/>
        </w:numPr>
        <w:spacing w:line="360" w:lineRule="auto"/>
        <w:ind w:left="0" w:leftChars="0" w:firstLine="482" w:firstLineChars="200"/>
        <w:rPr>
          <w:rFonts w:hint="default" w:ascii="宋体" w:hAnsi="宋体" w:eastAsia="宋体" w:cs="Times New Roman"/>
          <w:b/>
          <w:bCs/>
          <w:color w:val="auto"/>
          <w:sz w:val="24"/>
          <w:szCs w:val="24"/>
          <w:highlight w:val="none"/>
          <w:lang w:val="en-US" w:eastAsia="zh-CN"/>
        </w:rPr>
      </w:pPr>
      <w:bookmarkStart w:id="0" w:name="_GoBack"/>
      <w:r>
        <w:rPr>
          <w:rFonts w:hint="eastAsia" w:ascii="宋体" w:hAnsi="宋体" w:eastAsia="宋体" w:cs="Times New Roman"/>
          <w:b/>
          <w:bCs/>
          <w:color w:val="auto"/>
          <w:sz w:val="24"/>
          <w:szCs w:val="24"/>
          <w:highlight w:val="none"/>
          <w:lang w:val="en-US" w:eastAsia="zh-CN"/>
        </w:rPr>
        <w:t>三、服务要求</w:t>
      </w:r>
    </w:p>
    <w:bookmarkEnd w:id="0"/>
    <w:p w14:paraId="553AFC59">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1.保证采购人设备全年7*24小时安全、稳定、高效运行。如有故障成交供应商须在规定的时间内加以解决。</w:t>
      </w:r>
    </w:p>
    <w:p w14:paraId="3841A227">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2.供应商在故障修复后48小时内提供详细的故障修复服务报告，报告应至少包括以下内容：</w:t>
      </w:r>
    </w:p>
    <w:p w14:paraId="0F509A6C">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（1）报告故障时间、服务开始时间、故障修复时间、技术工程师。</w:t>
      </w:r>
    </w:p>
    <w:p w14:paraId="034E583C">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（2）故障现象及处理过程、故障原因分析及预防性维护建议。</w:t>
      </w:r>
    </w:p>
    <w:p w14:paraId="2CEFE252">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3.故障处理速度和质量要求：对于维护范围内的故障，供应商应在接到故障通知后30分钟内响应到达现场，一般故障需在4小时内解决，重大故障需在48小时内解决。故障及服务级别定义如下：</w:t>
      </w:r>
    </w:p>
    <w:tbl>
      <w:tblPr>
        <w:tblStyle w:val="3"/>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2336"/>
        <w:gridCol w:w="2659"/>
        <w:gridCol w:w="2328"/>
      </w:tblGrid>
      <w:tr w14:paraId="19F0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79" w:type="dxa"/>
            <w:noWrap w:val="0"/>
            <w:vAlign w:val="center"/>
          </w:tcPr>
          <w:p w14:paraId="31E682A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故障级别</w:t>
            </w:r>
          </w:p>
        </w:tc>
        <w:tc>
          <w:tcPr>
            <w:tcW w:w="2336" w:type="dxa"/>
            <w:noWrap w:val="0"/>
            <w:vAlign w:val="center"/>
          </w:tcPr>
          <w:p w14:paraId="71F9219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一级故障</w:t>
            </w:r>
          </w:p>
        </w:tc>
        <w:tc>
          <w:tcPr>
            <w:tcW w:w="2659" w:type="dxa"/>
            <w:noWrap w:val="0"/>
            <w:vAlign w:val="center"/>
          </w:tcPr>
          <w:p w14:paraId="54DDFB0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二级故障</w:t>
            </w:r>
          </w:p>
        </w:tc>
        <w:tc>
          <w:tcPr>
            <w:tcW w:w="2328" w:type="dxa"/>
            <w:noWrap w:val="0"/>
            <w:vAlign w:val="center"/>
          </w:tcPr>
          <w:p w14:paraId="3663B8C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三级故障</w:t>
            </w:r>
          </w:p>
        </w:tc>
      </w:tr>
      <w:tr w14:paraId="2138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379" w:type="dxa"/>
            <w:noWrap w:val="0"/>
            <w:vAlign w:val="center"/>
          </w:tcPr>
          <w:p w14:paraId="5A66C7D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服务级别</w:t>
            </w:r>
          </w:p>
        </w:tc>
        <w:tc>
          <w:tcPr>
            <w:tcW w:w="2336" w:type="dxa"/>
            <w:noWrap w:val="0"/>
            <w:vAlign w:val="center"/>
          </w:tcPr>
          <w:p w14:paraId="1E15727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客户的整个系统处于瘫痪状态，不能正常运行</w:t>
            </w:r>
          </w:p>
        </w:tc>
        <w:tc>
          <w:tcPr>
            <w:tcW w:w="2659" w:type="dxa"/>
            <w:noWrap w:val="0"/>
            <w:vAlign w:val="center"/>
          </w:tcPr>
          <w:p w14:paraId="4942F5A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系统性能严重下降或由于网络性能明显下降，使业务运行受到严重影响。</w:t>
            </w:r>
          </w:p>
        </w:tc>
        <w:tc>
          <w:tcPr>
            <w:tcW w:w="2328" w:type="dxa"/>
            <w:noWrap w:val="0"/>
            <w:vAlign w:val="center"/>
          </w:tcPr>
          <w:p w14:paraId="16966A6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系统部分设备或软件出现故障，但整体系统仍正常工作。</w:t>
            </w:r>
          </w:p>
        </w:tc>
      </w:tr>
      <w:tr w14:paraId="6A5F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79" w:type="dxa"/>
            <w:noWrap w:val="0"/>
            <w:vAlign w:val="center"/>
          </w:tcPr>
          <w:p w14:paraId="1DBC779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2336" w:type="dxa"/>
            <w:noWrap w:val="0"/>
            <w:vAlign w:val="center"/>
          </w:tcPr>
          <w:p w14:paraId="1586B29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立即</w:t>
            </w:r>
          </w:p>
        </w:tc>
        <w:tc>
          <w:tcPr>
            <w:tcW w:w="2659" w:type="dxa"/>
            <w:noWrap w:val="0"/>
            <w:vAlign w:val="center"/>
          </w:tcPr>
          <w:p w14:paraId="132398E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立即</w:t>
            </w:r>
          </w:p>
        </w:tc>
        <w:tc>
          <w:tcPr>
            <w:tcW w:w="2328" w:type="dxa"/>
            <w:noWrap w:val="0"/>
            <w:vAlign w:val="center"/>
          </w:tcPr>
          <w:p w14:paraId="39303A8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立即</w:t>
            </w:r>
          </w:p>
        </w:tc>
      </w:tr>
      <w:tr w14:paraId="09C1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79" w:type="dxa"/>
            <w:noWrap w:val="0"/>
            <w:vAlign w:val="center"/>
          </w:tcPr>
          <w:p w14:paraId="2D88C97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抵达现场时间</w:t>
            </w:r>
          </w:p>
        </w:tc>
        <w:tc>
          <w:tcPr>
            <w:tcW w:w="2336" w:type="dxa"/>
            <w:noWrap w:val="0"/>
            <w:vAlign w:val="center"/>
          </w:tcPr>
          <w:p w14:paraId="5A76046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0.5小时</w:t>
            </w:r>
          </w:p>
        </w:tc>
        <w:tc>
          <w:tcPr>
            <w:tcW w:w="2659" w:type="dxa"/>
            <w:noWrap w:val="0"/>
            <w:vAlign w:val="center"/>
          </w:tcPr>
          <w:p w14:paraId="7D4D782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0.5小时</w:t>
            </w:r>
          </w:p>
        </w:tc>
        <w:tc>
          <w:tcPr>
            <w:tcW w:w="2328" w:type="dxa"/>
            <w:noWrap w:val="0"/>
            <w:vAlign w:val="center"/>
          </w:tcPr>
          <w:p w14:paraId="0B607B7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0.5小时</w:t>
            </w:r>
          </w:p>
        </w:tc>
      </w:tr>
      <w:tr w14:paraId="7A91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379" w:type="dxa"/>
            <w:noWrap w:val="0"/>
            <w:vAlign w:val="center"/>
          </w:tcPr>
          <w:p w14:paraId="3DC7F1A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故障排除时间</w:t>
            </w:r>
          </w:p>
        </w:tc>
        <w:tc>
          <w:tcPr>
            <w:tcW w:w="2336" w:type="dxa"/>
            <w:noWrap w:val="0"/>
            <w:vAlign w:val="center"/>
          </w:tcPr>
          <w:p w14:paraId="7AB344F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远程确认2小时或抵达现场后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小时</w:t>
            </w:r>
          </w:p>
        </w:tc>
        <w:tc>
          <w:tcPr>
            <w:tcW w:w="2659" w:type="dxa"/>
            <w:noWrap w:val="0"/>
            <w:vAlign w:val="center"/>
          </w:tcPr>
          <w:p w14:paraId="71D4F65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远程确认</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小时或抵达现场后3小时</w:t>
            </w:r>
          </w:p>
        </w:tc>
        <w:tc>
          <w:tcPr>
            <w:tcW w:w="2328" w:type="dxa"/>
            <w:noWrap w:val="0"/>
            <w:vAlign w:val="center"/>
          </w:tcPr>
          <w:p w14:paraId="66A9855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远程确认</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小时或抵达现场后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小时</w:t>
            </w:r>
          </w:p>
        </w:tc>
      </w:tr>
    </w:tbl>
    <w:p w14:paraId="1294B5E2">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本地备件及响应要求：为保证维护服务质量，供应商需提供核心交换机和汇聚交换机（品牌型号与行政中心设备相同）各一台作为冷备设备，以在应急情况下可快速调配于下表响应时间内送达</w:t>
      </w:r>
      <w:r>
        <w:rPr>
          <w:rFonts w:hint="eastAsia" w:ascii="宋体" w:hAnsi="宋体" w:eastAsia="宋体" w:cs="Times New Roman"/>
          <w:color w:val="auto"/>
          <w:sz w:val="24"/>
          <w:szCs w:val="24"/>
          <w:highlight w:val="none"/>
          <w:lang w:val="en-US" w:eastAsia="zh-CN"/>
        </w:rPr>
        <w:t>采购人</w:t>
      </w:r>
      <w:r>
        <w:rPr>
          <w:rFonts w:hint="eastAsia" w:ascii="宋体" w:hAnsi="宋体" w:eastAsia="宋体" w:cs="Times New Roman"/>
          <w:color w:val="auto"/>
          <w:sz w:val="24"/>
          <w:szCs w:val="24"/>
          <w:highlight w:val="none"/>
        </w:rPr>
        <w:t>指定</w:t>
      </w:r>
      <w:r>
        <w:rPr>
          <w:rFonts w:hint="eastAsia" w:ascii="宋体" w:hAnsi="宋体" w:eastAsia="宋体" w:cs="Times New Roman"/>
          <w:color w:val="auto"/>
          <w:sz w:val="24"/>
          <w:szCs w:val="24"/>
          <w:highlight w:val="none"/>
          <w:lang w:val="en-US" w:eastAsia="zh-CN"/>
        </w:rPr>
        <w:t>地点，并完成安装替代</w:t>
      </w:r>
      <w:r>
        <w:rPr>
          <w:rFonts w:hint="eastAsia" w:ascii="宋体" w:hAnsi="宋体" w:eastAsia="宋体" w:cs="Times New Roman"/>
          <w:color w:val="auto"/>
          <w:sz w:val="24"/>
          <w:szCs w:val="24"/>
          <w:highlight w:val="none"/>
        </w:rPr>
        <w:t>。具体如下：</w:t>
      </w:r>
    </w:p>
    <w:tbl>
      <w:tblPr>
        <w:tblStyle w:val="3"/>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366"/>
        <w:gridCol w:w="1626"/>
        <w:gridCol w:w="2662"/>
      </w:tblGrid>
      <w:tr w14:paraId="342B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5" w:type="dxa"/>
            <w:noWrap w:val="0"/>
            <w:vAlign w:val="center"/>
          </w:tcPr>
          <w:p w14:paraId="195957C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w:t>
            </w:r>
          </w:p>
        </w:tc>
        <w:tc>
          <w:tcPr>
            <w:tcW w:w="2366" w:type="dxa"/>
            <w:noWrap w:val="0"/>
            <w:vAlign w:val="center"/>
          </w:tcPr>
          <w:p w14:paraId="5CC7E44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备件内容</w:t>
            </w:r>
          </w:p>
        </w:tc>
        <w:tc>
          <w:tcPr>
            <w:tcW w:w="1626" w:type="dxa"/>
            <w:noWrap w:val="0"/>
            <w:vAlign w:val="center"/>
          </w:tcPr>
          <w:p w14:paraId="5DB048F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2662" w:type="dxa"/>
            <w:noWrap w:val="0"/>
            <w:vAlign w:val="center"/>
          </w:tcPr>
          <w:p w14:paraId="57679F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D64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5" w:type="dxa"/>
            <w:vMerge w:val="restart"/>
            <w:noWrap w:val="0"/>
            <w:vAlign w:val="center"/>
          </w:tcPr>
          <w:p w14:paraId="236404C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核心交换机</w:t>
            </w:r>
          </w:p>
        </w:tc>
        <w:tc>
          <w:tcPr>
            <w:tcW w:w="2366" w:type="dxa"/>
            <w:noWrap w:val="0"/>
            <w:vAlign w:val="center"/>
          </w:tcPr>
          <w:p w14:paraId="7FFAAD5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代用冷备主机</w:t>
            </w:r>
          </w:p>
        </w:tc>
        <w:tc>
          <w:tcPr>
            <w:tcW w:w="1626" w:type="dxa"/>
            <w:noWrap w:val="0"/>
            <w:vAlign w:val="center"/>
          </w:tcPr>
          <w:p w14:paraId="2546EC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2小时</w:t>
            </w:r>
          </w:p>
        </w:tc>
        <w:tc>
          <w:tcPr>
            <w:tcW w:w="2662" w:type="dxa"/>
            <w:vMerge w:val="restart"/>
            <w:noWrap w:val="0"/>
            <w:vAlign w:val="center"/>
          </w:tcPr>
          <w:p w14:paraId="18B105A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厂家备件48小时</w:t>
            </w:r>
          </w:p>
        </w:tc>
      </w:tr>
      <w:tr w14:paraId="4BDF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5" w:type="dxa"/>
            <w:vMerge w:val="continue"/>
            <w:noWrap w:val="0"/>
            <w:vAlign w:val="center"/>
          </w:tcPr>
          <w:p w14:paraId="1031A94C">
            <w:pPr>
              <w:spacing w:line="360" w:lineRule="auto"/>
              <w:jc w:val="center"/>
              <w:rPr>
                <w:rFonts w:hint="eastAsia" w:ascii="宋体" w:hAnsi="宋体" w:eastAsia="宋体" w:cs="宋体"/>
                <w:color w:val="auto"/>
                <w:sz w:val="21"/>
                <w:szCs w:val="21"/>
                <w:highlight w:val="none"/>
              </w:rPr>
            </w:pPr>
          </w:p>
        </w:tc>
        <w:tc>
          <w:tcPr>
            <w:tcW w:w="2366" w:type="dxa"/>
            <w:noWrap w:val="0"/>
            <w:vAlign w:val="center"/>
          </w:tcPr>
          <w:p w14:paraId="2EC1079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常用模块</w:t>
            </w:r>
          </w:p>
        </w:tc>
        <w:tc>
          <w:tcPr>
            <w:tcW w:w="1626" w:type="dxa"/>
            <w:noWrap w:val="0"/>
            <w:vAlign w:val="center"/>
          </w:tcPr>
          <w:p w14:paraId="547AEEF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0.5小时</w:t>
            </w:r>
          </w:p>
        </w:tc>
        <w:tc>
          <w:tcPr>
            <w:tcW w:w="2662" w:type="dxa"/>
            <w:vMerge w:val="continue"/>
            <w:noWrap w:val="0"/>
            <w:vAlign w:val="center"/>
          </w:tcPr>
          <w:p w14:paraId="1CB8AD63">
            <w:pPr>
              <w:spacing w:line="360" w:lineRule="auto"/>
              <w:jc w:val="center"/>
              <w:rPr>
                <w:rFonts w:hint="eastAsia" w:ascii="宋体" w:hAnsi="宋体" w:eastAsia="宋体" w:cs="宋体"/>
                <w:color w:val="auto"/>
                <w:sz w:val="21"/>
                <w:szCs w:val="21"/>
                <w:highlight w:val="none"/>
              </w:rPr>
            </w:pPr>
          </w:p>
        </w:tc>
      </w:tr>
      <w:tr w14:paraId="4C1F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65" w:type="dxa"/>
            <w:vMerge w:val="restart"/>
            <w:noWrap w:val="0"/>
            <w:vAlign w:val="center"/>
          </w:tcPr>
          <w:p w14:paraId="50ADA5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汇聚交换机</w:t>
            </w:r>
          </w:p>
        </w:tc>
        <w:tc>
          <w:tcPr>
            <w:tcW w:w="2366" w:type="dxa"/>
            <w:noWrap w:val="0"/>
            <w:vAlign w:val="center"/>
          </w:tcPr>
          <w:p w14:paraId="39CC427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代用冷备主机</w:t>
            </w:r>
          </w:p>
        </w:tc>
        <w:tc>
          <w:tcPr>
            <w:tcW w:w="1626" w:type="dxa"/>
            <w:noWrap w:val="0"/>
            <w:vAlign w:val="center"/>
          </w:tcPr>
          <w:p w14:paraId="54E04D2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2小时</w:t>
            </w:r>
          </w:p>
        </w:tc>
        <w:tc>
          <w:tcPr>
            <w:tcW w:w="2662" w:type="dxa"/>
            <w:vMerge w:val="restart"/>
            <w:noWrap w:val="0"/>
            <w:vAlign w:val="center"/>
          </w:tcPr>
          <w:p w14:paraId="55ED4CD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厂家备件48小时</w:t>
            </w:r>
          </w:p>
        </w:tc>
      </w:tr>
      <w:tr w14:paraId="3DC8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65" w:type="dxa"/>
            <w:vMerge w:val="continue"/>
            <w:noWrap w:val="0"/>
            <w:vAlign w:val="center"/>
          </w:tcPr>
          <w:p w14:paraId="0B9FCABE">
            <w:pPr>
              <w:spacing w:line="360" w:lineRule="auto"/>
              <w:jc w:val="center"/>
              <w:rPr>
                <w:rFonts w:hint="eastAsia" w:ascii="宋体" w:hAnsi="宋体" w:eastAsia="宋体" w:cs="宋体"/>
                <w:color w:val="auto"/>
                <w:sz w:val="21"/>
                <w:szCs w:val="21"/>
                <w:highlight w:val="none"/>
              </w:rPr>
            </w:pPr>
          </w:p>
        </w:tc>
        <w:tc>
          <w:tcPr>
            <w:tcW w:w="2366" w:type="dxa"/>
            <w:noWrap w:val="0"/>
            <w:vAlign w:val="center"/>
          </w:tcPr>
          <w:p w14:paraId="410F109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常用模块</w:t>
            </w:r>
          </w:p>
        </w:tc>
        <w:tc>
          <w:tcPr>
            <w:tcW w:w="1626" w:type="dxa"/>
            <w:noWrap w:val="0"/>
            <w:vAlign w:val="center"/>
          </w:tcPr>
          <w:p w14:paraId="0F23BC3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0.5小时</w:t>
            </w:r>
          </w:p>
        </w:tc>
        <w:tc>
          <w:tcPr>
            <w:tcW w:w="2662" w:type="dxa"/>
            <w:vMerge w:val="continue"/>
            <w:noWrap w:val="0"/>
            <w:vAlign w:val="center"/>
          </w:tcPr>
          <w:p w14:paraId="1F37D7B0">
            <w:pPr>
              <w:spacing w:line="360" w:lineRule="auto"/>
              <w:jc w:val="center"/>
              <w:rPr>
                <w:rFonts w:hint="eastAsia" w:ascii="宋体" w:hAnsi="宋体" w:eastAsia="宋体" w:cs="宋体"/>
                <w:color w:val="auto"/>
                <w:sz w:val="21"/>
                <w:szCs w:val="21"/>
                <w:highlight w:val="none"/>
              </w:rPr>
            </w:pPr>
          </w:p>
        </w:tc>
      </w:tr>
    </w:tbl>
    <w:p w14:paraId="251E4F7B">
      <w:pPr>
        <w:numPr>
          <w:ilvl w:val="0"/>
          <w:numId w:val="0"/>
        </w:numPr>
        <w:spacing w:line="360" w:lineRule="auto"/>
        <w:ind w:left="0" w:leftChars="0" w:firstLine="480" w:firstLine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b/>
          <w:bCs/>
          <w:color w:val="auto"/>
          <w:sz w:val="24"/>
          <w:szCs w:val="24"/>
          <w:highlight w:val="none"/>
          <w:lang w:val="en-US" w:eastAsia="zh-CN"/>
        </w:rPr>
        <w:t>供应商需提供“承诺函”（格式自拟），若未提供，视为无效响应。</w:t>
      </w:r>
    </w:p>
    <w:p w14:paraId="647CCB96">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四、合同履行期限</w:t>
      </w:r>
    </w:p>
    <w:p w14:paraId="3D881ACC">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1年。</w:t>
      </w:r>
    </w:p>
    <w:p w14:paraId="47C7B81E">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五、其他要求</w:t>
      </w:r>
    </w:p>
    <w:p w14:paraId="6F7C117A">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合同签订时，</w:t>
      </w:r>
      <w:r>
        <w:rPr>
          <w:rFonts w:hint="eastAsia" w:ascii="宋体" w:hAnsi="宋体" w:eastAsia="宋体" w:cs="Times New Roman"/>
          <w:color w:val="auto"/>
          <w:sz w:val="24"/>
          <w:szCs w:val="24"/>
          <w:highlight w:val="none"/>
        </w:rPr>
        <w:t>成交供应商</w:t>
      </w:r>
      <w:r>
        <w:rPr>
          <w:rFonts w:hint="eastAsia" w:ascii="宋体" w:hAnsi="宋体" w:eastAsia="宋体" w:cs="Times New Roman"/>
          <w:color w:val="auto"/>
          <w:sz w:val="24"/>
          <w:szCs w:val="24"/>
          <w:highlight w:val="none"/>
          <w:lang w:val="en-US" w:eastAsia="zh-CN"/>
        </w:rPr>
        <w:t>须</w:t>
      </w:r>
      <w:r>
        <w:rPr>
          <w:rFonts w:hint="eastAsia" w:ascii="宋体" w:hAnsi="宋体" w:eastAsia="宋体" w:cs="Times New Roman"/>
          <w:color w:val="auto"/>
          <w:sz w:val="24"/>
          <w:szCs w:val="24"/>
          <w:highlight w:val="none"/>
        </w:rPr>
        <w:t>提供</w:t>
      </w:r>
      <w:r>
        <w:rPr>
          <w:rFonts w:hint="eastAsia" w:ascii="宋体" w:hAnsi="宋体" w:eastAsia="宋体" w:cs="Times New Roman"/>
          <w:color w:val="auto"/>
          <w:sz w:val="24"/>
          <w:szCs w:val="24"/>
          <w:highlight w:val="none"/>
          <w:lang w:val="en-US" w:eastAsia="zh-CN"/>
        </w:rPr>
        <w:t>政务中心、图书馆、启瑞广场、江景苑合计6台核心</w:t>
      </w:r>
      <w:r>
        <w:rPr>
          <w:rFonts w:hint="eastAsia" w:ascii="宋体" w:hAnsi="宋体" w:eastAsia="宋体" w:cs="Times New Roman"/>
          <w:color w:val="auto"/>
          <w:sz w:val="24"/>
          <w:szCs w:val="24"/>
          <w:highlight w:val="none"/>
        </w:rPr>
        <w:t>交换机的原厂质保授权函（加盖原厂公章）原件</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质保期与合同服务期一致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b/>
          <w:bCs/>
          <w:color w:val="auto"/>
          <w:sz w:val="24"/>
          <w:szCs w:val="24"/>
          <w:highlight w:val="none"/>
        </w:rPr>
        <w:t>如不提供，视为放弃成交资格</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顺延综合评分第二名中标</w:t>
      </w:r>
      <w:r>
        <w:rPr>
          <w:rFonts w:hint="eastAsia" w:ascii="宋体" w:hAnsi="宋体" w:eastAsia="宋体" w:cs="Times New Roman"/>
          <w:b/>
          <w:bCs/>
          <w:color w:val="auto"/>
          <w:sz w:val="24"/>
          <w:szCs w:val="24"/>
          <w:highlight w:val="none"/>
        </w:rPr>
        <w:t>。</w:t>
      </w:r>
    </w:p>
    <w:p w14:paraId="6D44AB01">
      <w:pPr>
        <w:adjustRightInd w:val="0"/>
        <w:spacing w:line="360" w:lineRule="auto"/>
        <w:ind w:firstLine="480" w:firstLineChars="200"/>
        <w:rPr>
          <w:rFonts w:hint="eastAsia"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服务地点：南通市大数据管理中心指定地点。</w:t>
      </w:r>
    </w:p>
    <w:p w14:paraId="2A33D617">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六、付款方式</w:t>
      </w:r>
    </w:p>
    <w:p w14:paraId="7A17A78F">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本合同签订后10日内，采购人支付本年度合同总金额的30%；当年年底前支付至本年度合同总金额的90%，运维期满且验收合格后支付本年度剩余合同款。</w:t>
      </w:r>
    </w:p>
    <w:p w14:paraId="2D2AAB0B">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907C7"/>
    <w:rsid w:val="2209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索引 41"/>
    <w:basedOn w:val="1"/>
    <w:next w:val="1"/>
    <w:unhideWhenUsed/>
    <w:qFormat/>
    <w:uiPriority w:val="99"/>
    <w:pPr>
      <w:ind w:left="600"/>
    </w:pPr>
  </w:style>
  <w:style w:type="character" w:customStyle="1" w:styleId="5">
    <w:name w:val="NormalCharacter"/>
    <w:qFormat/>
    <w:uiPriority w:val="0"/>
  </w:style>
  <w:style w:type="character" w:customStyle="1" w:styleId="6">
    <w:name w:val="font31"/>
    <w:basedOn w:val="4"/>
    <w:autoRedefine/>
    <w:qFormat/>
    <w:uiPriority w:val="0"/>
    <w:rPr>
      <w:rFonts w:hint="default" w:ascii="Segoe UI Symbol" w:hAnsi="Segoe UI Symbol" w:eastAsia="Segoe UI Symbol" w:cs="Segoe UI Symbo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2026-01-08T07:04:00Z</dcterms:created>
  <dc:creator>le</dc:creator>
  <cp:lastModifiedBy>le</cp:lastModifiedBy>
  <dcterms:modified xsi:type="dcterms:W3CDTF">2026-01-08T07:05:10Z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AB810969BD9F47B89C6AF1CE62452E94_11</vt:lpwstr>
  </property>
  <property fmtid="{D5CDD505-2E9C-101B-9397-08002B2CF9AE}" pid="4" name="KSOTemplateDocerSaveRecord">
    <vt:lpwstr>eyJoZGlkIjoiNzc3NGZiODMwZWIxNGQ1ZGM3NzU3NzM0MzJmZjJlOWYiLCJ1c2VySWQiOiIxMjY5NzgzNzg4In0=</vt:lpwstr>
  </property>
</Properties>
</file>